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1F3864"/>
          <w:sz w:val="64"/>
          <w:szCs w:val="64"/>
        </w:rPr>
        <w:t xml:space="preserve">PROTOLEDGER</w:t>
      </w:r>
    </w:p>
    <w:p>
      <w:pPr>
        <w:spacing w:after="40"/>
      </w:pPr>
      <w:r>
        <w:rPr>
          <w:rFonts w:ascii="Arial" w:cs="Arial" w:eastAsia="Arial" w:hAnsi="Arial"/>
          <w:b/>
          <w:bCs/>
          <w:color w:val="2E75B6"/>
          <w:sz w:val="64"/>
          <w:szCs w:val="64"/>
        </w:rPr>
        <w:t xml:space="preserve">CORE</w:t>
      </w:r>
    </w:p>
    <w:p>
      <w:pPr>
        <w:spacing w:after="60" w:before="0" w:line="276"/>
      </w:pPr>
      <w:r>
        <w:rPr>
          <w:rFonts w:ascii="Arial" w:cs="Arial" w:eastAsia="Arial" w:hAnsi="Arial"/>
          <w:b w:val="false"/>
          <w:bCs w:val="false"/>
          <w:i/>
          <w:iCs/>
          <w:color w:val="595959"/>
          <w:sz w:val="24"/>
          <w:szCs w:val="24"/>
        </w:rPr>
        <w:t xml:space="preserve">A Peer-to-Peer Electronic Cash System, Assessed Against Its Own Yardstick</w:t>
      </w:r>
    </w:p>
    <w:p>
      <w:pPr>
        <w:spacing w:after="40" w:before="0" w:line="276"/>
      </w:pPr>
      <w:r>
        <w:rPr>
          <w:rFonts w:ascii="Arial" w:cs="Arial" w:eastAsia="Arial" w:hAnsi="Arial"/>
          <w:b w:val="false"/>
          <w:bCs w:val="false"/>
          <w:i w:val="false"/>
          <w:iCs w:val="false"/>
          <w:color w:val="595959"/>
          <w:sz w:val="20"/>
          <w:szCs w:val="20"/>
        </w:rPr>
        <w:t xml:space="preserve">Specification v2.0  ·  June 2026  ·  Standard-Aligned Edition  ·  Open Community Standard</w:t>
      </w:r>
    </w:p>
    <w:p>
      <w:pPr>
        <w:spacing w:after="40" w:before="0" w:line="276"/>
      </w:pPr>
      <w:r>
        <w:rPr>
          <w:rFonts w:ascii="Arial" w:cs="Arial" w:eastAsia="Arial" w:hAnsi="Arial"/>
          <w:b w:val="false"/>
          <w:bCs w:val="false"/>
          <w:i w:val="false"/>
          <w:iCs w:val="false"/>
          <w:color w:val="595959"/>
          <w:sz w:val="20"/>
          <w:szCs w:val="20"/>
        </w:rPr>
        <w:t xml:space="preserve">Authored by Oleh Bezuhlyi  ·  </w:t>
      </w:r>
    </w:p>
    <w:p>
      <w:pPr>
        <w:spacing w:after="60"/>
      </w:pPr>
      <w:r>
        <w:rPr>
          <w:rFonts w:ascii="Arial" w:cs="Arial" w:eastAsia="Arial" w:hAnsi="Arial"/>
          <w:i/>
          <w:iCs/>
          <w:color w:val="595959"/>
          <w:sz w:val="20"/>
          <w:szCs w:val="20"/>
        </w:rPr>
        <w:t xml:space="preserve">Companion to </w:t>
      </w:r>
      <w:r>
        <w:rPr>
          <w:rFonts w:ascii="Arial" w:cs="Arial" w:eastAsia="Arial" w:hAnsi="Arial"/>
          <w:i/>
          <w:iCs/>
          <w:color w:val="595959"/>
          <w:sz w:val="20"/>
          <w:szCs w:val="20"/>
        </w:rPr>
        <w:t xml:space="preserve">“Bitcoin: A Revolution That Never Happened?”</w:t>
      </w:r>
      <w:r>
        <w:rPr>
          <w:rFonts w:ascii="Arial" w:cs="Arial" w:eastAsia="Arial" w:hAnsi="Arial"/>
          <w:i/>
          <w:iCs/>
          <w:color w:val="595959"/>
          <w:sz w:val="20"/>
          <w:szCs w:val="20"/>
        </w:rPr>
        <w:t xml:space="preserve"> and to the ProtoLedger Money Standard v3.0</w:t>
      </w:r>
    </w:p>
    <w:p>
      <w:pPr>
        <w:spacing w:after="200" w:before="0" w:line="276"/>
      </w:pPr>
      <w:r>
        <w:rPr>
          <w:rFonts w:ascii="Arial" w:cs="Arial" w:eastAsia="Arial" w:hAnsi="Arial"/>
          <w:b w:val="false"/>
          <w:bCs w:val="false"/>
          <w:i w:val="false"/>
          <w:iCs w:val="false"/>
          <w:color w:val="595959"/>
          <w:sz w:val="20"/>
          <w:szCs w:val="20"/>
        </w:rPr>
        <w:t xml:space="preserve">Released under Apache 2.0 — fork it, challenge it, build it.</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9360"/>
      </w:tblGrid>
      <w:tr>
        <w:trPr>
          <w:tblHeader w:val="false"/>
        </w:trPr>
        <w:tc>
          <w:tcPr>
            <w:tcW w:type="dxa" w:w="9360"/>
            <w:tcBorders>
              <w:top w:val="single" w:color="BFBFBF" w:sz="1"/>
              <w:left w:val="single" w:color="BFBFBF" w:sz="1"/>
              <w:bottom w:val="single" w:color="BFBFBF" w:sz="1"/>
              <w:right w:val="single" w:color="BFBFBF" w:sz="1"/>
            </w:tcBorders>
            <w:shd w:fill="EAF1F8"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rPr>
              <w:t xml:space="preserve">Framing statement.  </w:t>
            </w:r>
            <w:r>
              <w:rPr>
                <w:rFonts w:ascii="Arial" w:cs="Arial" w:eastAsia="Arial" w:hAnsi="Arial"/>
                <w:b w:val="false"/>
                <w:bCs w:val="false"/>
                <w:i w:val="false"/>
                <w:iCs w:val="false"/>
              </w:rPr>
              <w:t xml:space="preserve">ProtoLedger Core (PLC) is a speculative protocol specification — a coherent blueprint for a distributed ledger built to the maximum extent permitted by current research and hardware. </w:t>
            </w:r>
            <w:r>
              <w:rPr>
                <w:rFonts w:ascii="Arial" w:cs="Arial" w:eastAsia="Arial" w:hAnsi="Arial"/>
                <w:b/>
                <w:bCs/>
                <w:i w:val="false"/>
                <w:iCs w:val="false"/>
              </w:rPr>
              <w:t xml:space="preserve">This edition makes one change of posture from v1.0: it stops grading its own exam.</w:t>
            </w:r>
          </w:p>
          <w:p>
            <w:pPr>
              <w:spacing w:after="0" w:line="252"/>
            </w:pPr>
            <w:r>
              <w:rPr>
                <w:rFonts w:ascii="Arial" w:cs="Arial" w:eastAsia="Arial" w:hAnsi="Arial"/>
                <w:b w:val="false"/>
                <w:bCs w:val="false"/>
                <w:i w:val="false"/>
                <w:iCs w:val="false"/>
              </w:rPr>
              <w:t xml:space="preserve">v1.0 scored itself 100/100 against ten principles it defined. That number measured nothing — a design that has never met production always wins on paper. v2.0 instead assesses PLC against an external instrument, the ProtoLedger Money Standard v3.0, on that Standard’s own terms: outcomes rather than mechanisms, an explicit </w:t>
            </w:r>
            <w:r>
              <w:rPr>
                <w:rFonts w:ascii="Arial" w:cs="Arial" w:eastAsia="Arial" w:hAnsi="Arial"/>
                <w:b/>
                <w:bCs/>
                <w:i w:val="false"/>
                <w:iCs w:val="false"/>
              </w:rPr>
              <w:t xml:space="preserve">Achieved / Buildable / Speculative</w:t>
            </w:r>
            <w:r>
              <w:rPr>
                <w:rFonts w:ascii="Arial" w:cs="Arial" w:eastAsia="Arial" w:hAnsi="Arial"/>
                <w:b w:val="false"/>
                <w:bCs w:val="false"/>
                <w:i w:val="false"/>
                <w:iCs w:val="false"/>
              </w:rPr>
              <w:t xml:space="preserve"> readiness flag on every claim, two scales that are never summed, and genuinely contested choices </w:t>
            </w:r>
            <w:r>
              <w:rPr>
                <w:rFonts w:ascii="Arial" w:cs="Arial" w:eastAsia="Arial" w:hAnsi="Arial"/>
                <w:b w:val="false"/>
                <w:bCs w:val="false"/>
                <w:i/>
                <w:iCs/>
              </w:rPr>
              <w:t xml:space="preserve">disclosed</w:t>
            </w:r>
            <w:r>
              <w:rPr>
                <w:rFonts w:ascii="Arial" w:cs="Arial" w:eastAsia="Arial" w:hAnsi="Arial"/>
                <w:b w:val="false"/>
                <w:bCs w:val="false"/>
                <w:i w:val="false"/>
                <w:iCs w:val="false"/>
              </w:rPr>
              <w:t xml:space="preserve"> rather than scored. The cryptography, consensus, and privacy primitives are real and largely buildable today. The network, the token, the foundation, and the consumer identity hardware are not. Under the Standard’s readiness rule this document can therefore earn, at most, a </w:t>
            </w:r>
            <w:r>
              <w:rPr>
                <w:rFonts w:ascii="Arial" w:cs="Arial" w:eastAsia="Arial" w:hAnsi="Arial"/>
                <w:b/>
                <w:bCs/>
                <w:i w:val="false"/>
                <w:iCs w:val="false"/>
              </w:rPr>
              <w:t xml:space="preserve">labelled “ceiling” verdict — never “ready today.”</w:t>
            </w:r>
          </w:p>
        </w:tc>
      </w:tr>
    </w:tbl>
    <w:p>
      <w:pPr>
        <w:spacing w:after="120" w:before="0" w:line="276"/>
      </w:pPr>
      <w:r>
        <w:rPr>
          <w:rFonts w:ascii="Arial" w:cs="Arial" w:eastAsia="Arial" w:hAnsi="Arial"/>
          <w:b w:val="false"/>
          <w:bCs w:val="false"/>
          <w:i w:val="false"/>
          <w:iCs w:val="false"/>
        </w:rPr>
        <w:t xml:space="preserve"/>
      </w:r>
    </w:p>
    <w:p>
      <w:pPr>
        <w:pStyle w:val="Heading1"/>
        <w:spacing w:after="160" w:before="300"/>
      </w:pPr>
      <w:r>
        <w:rPr>
          <w:rFonts w:ascii="Arial" w:cs="Arial" w:eastAsia="Arial" w:hAnsi="Arial"/>
        </w:rPr>
        <w:t xml:space="preserve">Abstract</w:t>
      </w:r>
    </w:p>
    <w:p>
      <w:pPr>
        <w:spacing w:after="140" w:before="0" w:line="276"/>
      </w:pPr>
      <w:r>
        <w:rPr>
          <w:rFonts w:ascii="Arial" w:cs="Arial" w:eastAsia="Arial" w:hAnsi="Arial"/>
          <w:b w:val="false"/>
          <w:bCs w:val="false"/>
          <w:i w:val="false"/>
          <w:iCs w:val="false"/>
        </w:rPr>
        <w:t xml:space="preserve">We present ProtoLedger Core — a peer-to-peer electronic cash system and programmable settlement layer designed from first principles, unconstrained by path dependency, incumbent interests, or the need to raise a venture round. PLC integrates a DAG-BFT consensus backbone (Shoal++ lineage) targeting sub-second deterministic finality; post-quantum lattice cryptography with built-in algorithm agility; default zk-STARK transaction privacy with selective disclosure; a Proof-of-Useful-Stake validator mechanism; structural MEV elimination via content–metadata separation; on-chain quadratic-vote governance; and an optional biometric proof-of-personhood layer that anchors an egalitarian, population-indexed monetary base.</w:t>
      </w:r>
    </w:p>
    <w:p>
      <w:pPr>
        <w:spacing w:after="140" w:before="0" w:line="276"/>
      </w:pPr>
      <w:r>
        <w:rPr>
          <w:rFonts w:ascii="Arial" w:cs="Arial" w:eastAsia="Arial" w:hAnsi="Arial"/>
          <w:b w:val="false"/>
          <w:bCs w:val="false"/>
          <w:i w:val="false"/>
          <w:iCs w:val="false"/>
        </w:rPr>
        <w:t xml:space="preserve">This edition differs from v1.0 in four substantive ways, each driven by the discipline of the ProtoLedger Money Standard. </w:t>
      </w:r>
      <w:r>
        <w:rPr>
          <w:rFonts w:ascii="Arial" w:cs="Arial" w:eastAsia="Arial" w:hAnsi="Arial"/>
          <w:b/>
          <w:bCs/>
          <w:i w:val="false"/>
          <w:iCs w:val="false"/>
        </w:rPr>
        <w:t xml:space="preserve">First</w:t>
      </w:r>
      <w:r>
        <w:rPr>
          <w:rFonts w:ascii="Arial" w:cs="Arial" w:eastAsia="Arial" w:hAnsi="Arial"/>
          <w:b w:val="false"/>
          <w:bCs w:val="false"/>
          <w:i w:val="false"/>
          <w:iCs w:val="false"/>
        </w:rPr>
        <w:t xml:space="preserve">, the self-awarded 100/100 scorecard is replaced by an honest Layer A / Layer B / Layer C self-assessment carrying readiness flags and an explicit gate result (Section 11). </w:t>
      </w:r>
      <w:r>
        <w:rPr>
          <w:rFonts w:ascii="Arial" w:cs="Arial" w:eastAsia="Arial" w:hAnsi="Arial"/>
          <w:b/>
          <w:bCs/>
          <w:i w:val="false"/>
          <w:iCs w:val="false"/>
        </w:rPr>
        <w:t xml:space="preserve">Second</w:t>
      </w:r>
      <w:r>
        <w:rPr>
          <w:rFonts w:ascii="Arial" w:cs="Arial" w:eastAsia="Arial" w:hAnsi="Arial"/>
          <w:b w:val="false"/>
          <w:bCs w:val="false"/>
          <w:i w:val="false"/>
          <w:iCs w:val="false"/>
        </w:rPr>
        <w:t xml:space="preserve">, the post-quantum signature claim is corrected: Falcon / FN-DSA is </w:t>
      </w:r>
      <w:r>
        <w:rPr>
          <w:rFonts w:ascii="Arial" w:cs="Arial" w:eastAsia="Arial" w:hAnsi="Arial"/>
          <w:b w:val="false"/>
          <w:bCs w:val="false"/>
          <w:i/>
          <w:iCs/>
        </w:rPr>
        <w:t xml:space="preserve">not</w:t>
      </w:r>
      <w:r>
        <w:rPr>
          <w:rFonts w:ascii="Arial" w:cs="Arial" w:eastAsia="Arial" w:hAnsi="Arial"/>
          <w:b w:val="false"/>
          <w:bCs w:val="false"/>
          <w:i w:val="false"/>
          <w:iCs w:val="false"/>
        </w:rPr>
        <w:t xml:space="preserve"> a finalised standard, so PLC mandates the finalised ML-DSA (FIPS 204) as its baseline and treats the signature scheme as a governable, swappable parameter. </w:t>
      </w:r>
      <w:r>
        <w:rPr>
          <w:rFonts w:ascii="Arial" w:cs="Arial" w:eastAsia="Arial" w:hAnsi="Arial"/>
          <w:b/>
          <w:bCs/>
          <w:i w:val="false"/>
          <w:iCs w:val="false"/>
        </w:rPr>
        <w:t xml:space="preserve">Third</w:t>
      </w:r>
      <w:r>
        <w:rPr>
          <w:rFonts w:ascii="Arial" w:cs="Arial" w:eastAsia="Arial" w:hAnsi="Arial"/>
          <w:b w:val="false"/>
          <w:bCs w:val="false"/>
          <w:i w:val="false"/>
          <w:iCs w:val="false"/>
        </w:rPr>
        <w:t xml:space="preserve">, the identity layer drops DNA in favour of an iris-plus-subdermal-vein liveness stack, and drops the “100% reliable” claim for a stated threat model with published error rates. </w:t>
      </w:r>
      <w:r>
        <w:rPr>
          <w:rFonts w:ascii="Arial" w:cs="Arial" w:eastAsia="Arial" w:hAnsi="Arial"/>
          <w:b/>
          <w:bCs/>
          <w:i w:val="false"/>
          <w:iCs w:val="false"/>
        </w:rPr>
        <w:t xml:space="preserve">Fourth</w:t>
      </w:r>
      <w:r>
        <w:rPr>
          <w:rFonts w:ascii="Arial" w:cs="Arial" w:eastAsia="Arial" w:hAnsi="Arial"/>
          <w:b w:val="false"/>
          <w:bCs w:val="false"/>
          <w:i w:val="false"/>
          <w:iCs w:val="false"/>
        </w:rPr>
        <w:t xml:space="preserve">, the monetary section openly discloses the fairness-versus-stability tradeoff rather than defining it away.</w:t>
      </w:r>
    </w:p>
    <w:p>
      <w:pPr>
        <w:spacing w:after="140" w:before="0" w:line="276"/>
      </w:pPr>
      <w:r>
        <w:rPr>
          <w:rFonts w:ascii="Arial" w:cs="Arial" w:eastAsia="Arial" w:hAnsi="Arial"/>
          <w:b w:val="false"/>
          <w:bCs w:val="false"/>
          <w:i w:val="false"/>
          <w:iCs w:val="false"/>
          <w:color w:val="595959"/>
          <w:sz w:val="20"/>
          <w:szCs w:val="20"/>
        </w:rPr>
        <w:t xml:space="preserve">Token: ProtoLedger Core (PLC)  ·  Supply (post-personhood): N × B, where N = verified living identities and B = 1,000 PLC (constitutional constant)  ·  Smallest unit: 1 nanoPLC = 10⁻⁹ PLC.</w:t>
      </w:r>
    </w:p>
    <w:p>
      <w:pPr>
        <w:pStyle w:val="Heading1"/>
        <w:spacing w:after="160" w:before="300"/>
      </w:pPr>
      <w:r>
        <w:rPr>
          <w:rFonts w:ascii="Arial" w:cs="Arial" w:eastAsia="Arial" w:hAnsi="Arial"/>
        </w:rPr>
        <w:t xml:space="preserve">1.  Introduction</w:t>
      </w:r>
    </w:p>
    <w:p>
      <w:pPr>
        <w:spacing w:after="140" w:before="0" w:line="276"/>
      </w:pPr>
      <w:r>
        <w:rPr>
          <w:rFonts w:ascii="Arial" w:cs="Arial" w:eastAsia="Arial" w:hAnsi="Arial"/>
          <w:b w:val="false"/>
          <w:bCs w:val="false"/>
          <w:i w:val="false"/>
          <w:iCs w:val="false"/>
        </w:rPr>
        <w:t xml:space="preserve">Commerce on the Internet has come to rely almost exclusively on financial institutions serving as trusted third parties. That was true when Satoshi Nakamoto wrote it in 2008; it remains true in 2026, despite thousands of blockchain projects collectively valued in the trillions. The original promise was the elimination of trusted third parties. What the industry produced instead was a new class of them: mining cartels, validator clubs, venture-backed foundations with upgrade authority, and compliance-first stablecoins that answer to regulators before users. The aesthetic of decentralisation was preserved; the substance was not.</w:t>
      </w:r>
    </w:p>
    <w:p>
      <w:pPr>
        <w:spacing w:after="140" w:before="0" w:line="276"/>
      </w:pPr>
      <w:r>
        <w:rPr>
          <w:rFonts w:ascii="Arial" w:cs="Arial" w:eastAsia="Arial" w:hAnsi="Arial"/>
          <w:b w:val="false"/>
          <w:bCs w:val="false"/>
          <w:i w:val="false"/>
          <w:iCs w:val="false"/>
        </w:rPr>
        <w:t xml:space="preserve">Each real project was designed under constraints PLC deliberately ignores — 2008 cryptography and a cold start for Bitcoin, shipping speed for Ethereum, venture return timelines for Solana. Each constraint produced a compromise, and each compromise was presented as a feature. PLC asks the opposite question: if we stripped away every constraint except the protocol’s obligations to its users, what would we build — and how would it score on an instrument that refuses to let a blueprint pose as a working system?</w:t>
      </w:r>
    </w:p>
    <w:p>
      <w:pPr>
        <w:pStyle w:val="Heading2"/>
        <w:spacing w:after="120" w:before="220"/>
      </w:pPr>
      <w:r>
        <w:rPr>
          <w:rFonts w:ascii="Arial" w:cs="Arial" w:eastAsia="Arial" w:hAnsi="Arial"/>
        </w:rPr>
        <w:t xml:space="preserve">1.1  What changed in v2.0, and why</w:t>
      </w:r>
    </w:p>
    <w:p>
      <w:pPr>
        <w:spacing w:after="140" w:before="0" w:line="276"/>
      </w:pPr>
      <w:r>
        <w:rPr>
          <w:rFonts w:ascii="Arial" w:cs="Arial" w:eastAsia="Arial" w:hAnsi="Arial"/>
          <w:b w:val="false"/>
          <w:bCs w:val="false"/>
          <w:i w:val="false"/>
          <w:iCs w:val="false"/>
        </w:rPr>
        <w:t xml:space="preserve">v1.0 was a strong provocation undermined by one move: it graded itself. A specification that never pays production’s costs can claim any score it likes. The ProtoLedger Money Standard v3.0 was written precisely to stop that — it scores outcomes, flags readiness, and discloses contested values instead of awarding points for them. The honest thing to do with PLC is to run it through that instrument and report what comes out, gate failures and all. That is Section 11, and it is the centre of gravity of this edition.</w:t>
      </w:r>
    </w:p>
    <w:p>
      <w:pPr>
        <w:pStyle w:val="Heading1"/>
        <w:spacing w:after="160" w:before="300"/>
      </w:pPr>
      <w:r>
        <w:rPr>
          <w:rFonts w:ascii="Arial" w:cs="Arial" w:eastAsia="Arial" w:hAnsi="Arial"/>
        </w:rPr>
        <w:t xml:space="preserve">2.  System Overview</w:t>
      </w:r>
    </w:p>
    <w:p>
      <w:pPr>
        <w:spacing w:after="140" w:before="0" w:line="276"/>
      </w:pPr>
      <w:r>
        <w:rPr>
          <w:rFonts w:ascii="Arial" w:cs="Arial" w:eastAsia="Arial" w:hAnsi="Arial"/>
          <w:b w:val="false"/>
          <w:bCs w:val="false"/>
          <w:i w:val="false"/>
          <w:iCs w:val="false"/>
        </w:rPr>
        <w:t xml:space="preserve">ProtoLedger Core is organised as four interoperating layers. Each maps to outcome properties in the Money Standard rather than to self-defined principles.</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1400"/>
        <w:gridCol w:w="2400"/>
        <w:gridCol w:w="5560"/>
      </w:tblGrid>
      <w:tr>
        <w:trPr>
          <w:tblHeader/>
        </w:trPr>
        <w:tc>
          <w:tcPr>
            <w:tcW w:type="dxa" w:w="14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Layer</w:t>
            </w:r>
          </w:p>
        </w:tc>
        <w:tc>
          <w:tcPr>
            <w:tcW w:type="dxa" w:w="24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Name</w:t>
            </w:r>
          </w:p>
        </w:tc>
        <w:tc>
          <w:tcPr>
            <w:tcW w:type="dxa" w:w="556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Primary outcomes served (Money Standard)</w:t>
            </w:r>
          </w:p>
        </w:tc>
      </w:tr>
      <w:tr>
        <w:trPr>
          <w:tblHeader w:val="false"/>
        </w:trPr>
        <w:tc>
          <w:tcPr>
            <w:tcW w:type="dxa" w:w="1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Layer 0</w:t>
            </w:r>
          </w:p>
        </w:tc>
        <w:tc>
          <w:tcPr>
            <w:tcW w:type="dxa" w:w="2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Network</w:t>
            </w:r>
          </w:p>
        </w:tc>
        <w:tc>
          <w:tcPr>
            <w:tcW w:type="dxa" w:w="55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B3 Resilience &amp; Liveness, B4 No Single Point of Control</w:t>
            </w:r>
          </w:p>
        </w:tc>
      </w:tr>
      <w:tr>
        <w:trPr>
          <w:tblHeader w:val="false"/>
        </w:trPr>
        <w:tc>
          <w:tcPr>
            <w:tcW w:type="dxa" w:w="1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Layer 1</w:t>
            </w:r>
          </w:p>
        </w:tc>
        <w:tc>
          <w:tcPr>
            <w:tcW w:type="dxa" w:w="2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Consensus</w:t>
            </w:r>
          </w:p>
        </w:tc>
        <w:tc>
          <w:tcPr>
            <w:tcW w:type="dxa" w:w="55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B2 Settlement Assurance, B7 No Invisible Rent</w:t>
            </w:r>
          </w:p>
        </w:tc>
      </w:tr>
      <w:tr>
        <w:trPr>
          <w:tblHeader w:val="false"/>
        </w:trPr>
        <w:tc>
          <w:tcPr>
            <w:tcW w:type="dxa" w:w="1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Layer 2</w:t>
            </w:r>
          </w:p>
        </w:tc>
        <w:tc>
          <w:tcPr>
            <w:tcW w:type="dxa" w:w="2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Execution &amp; Privacy</w:t>
            </w:r>
          </w:p>
        </w:tc>
        <w:tc>
          <w:tcPr>
            <w:tcW w:type="dxa" w:w="55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A5 Fungibility, B5 Rule Auditability</w:t>
            </w:r>
          </w:p>
        </w:tc>
      </w:tr>
      <w:tr>
        <w:trPr>
          <w:tblHeader w:val="false"/>
        </w:trPr>
        <w:tc>
          <w:tcPr>
            <w:tcW w:type="dxa" w:w="1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Layer 3</w:t>
            </w:r>
          </w:p>
        </w:tc>
        <w:tc>
          <w:tcPr>
            <w:tcW w:type="dxa" w:w="2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Identity &amp; Governance</w:t>
            </w:r>
          </w:p>
        </w:tc>
        <w:tc>
          <w:tcPr>
            <w:tcW w:type="dxa" w:w="55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B8 Capture-Resistant Rule-Change; Layer C identity disclosure</w:t>
            </w:r>
          </w:p>
        </w:tc>
      </w:tr>
    </w:tbl>
    <w:p>
      <w:pPr>
        <w:pStyle w:val="Heading2"/>
        <w:spacing w:after="120" w:before="220"/>
      </w:pPr>
      <w:r>
        <w:rPr>
          <w:rFonts w:ascii="Arial" w:cs="Arial" w:eastAsia="Arial" w:hAnsi="Arial"/>
        </w:rPr>
        <w:t xml:space="preserve">2.1  Transaction lifecycle</w:t>
      </w:r>
    </w:p>
    <w:p>
      <w:pPr>
        <w:pStyle w:val="ListParagraph"/>
        <w:numPr>
          <w:ilvl w:val="0"/>
          <w:numId w:val="2"/>
        </w:numPr>
        <w:spacing w:after="100" w:line="276"/>
      </w:pPr>
      <w:r>
        <w:rPr>
          <w:rFonts w:ascii="Arial" w:cs="Arial" w:eastAsia="Arial" w:hAnsi="Arial"/>
          <w:b/>
          <w:bCs/>
          <w:i w:val="false"/>
          <w:iCs w:val="false"/>
        </w:rPr>
        <w:t xml:space="preserve">Construction. </w:t>
      </w:r>
      <w:r>
        <w:rPr>
          <w:rFonts w:ascii="Arial" w:cs="Arial" w:eastAsia="Arial" w:hAnsi="Arial"/>
          <w:b w:val="false"/>
          <w:bCs w:val="false"/>
          <w:i w:val="false"/>
          <w:iCs w:val="false"/>
        </w:rPr>
        <w:t xml:space="preserve">Sender builds a transaction with encrypted content (amount, recipient commitment) and a zk-STARK validity proof. Only metadata — nullifier hash, fee bid, sender key hash — is plaintext.</w:t>
      </w:r>
    </w:p>
    <w:p>
      <w:pPr>
        <w:pStyle w:val="ListParagraph"/>
        <w:numPr>
          <w:ilvl w:val="0"/>
          <w:numId w:val="2"/>
        </w:numPr>
        <w:spacing w:after="100" w:line="276"/>
      </w:pPr>
      <w:r>
        <w:rPr>
          <w:rFonts w:ascii="Arial" w:cs="Arial" w:eastAsia="Arial" w:hAnsi="Arial"/>
          <w:b/>
          <w:bCs/>
          <w:i w:val="false"/>
          <w:iCs w:val="false"/>
        </w:rPr>
        <w:t xml:space="preserve">Gossip. </w:t>
      </w:r>
      <w:r>
        <w:rPr>
          <w:rFonts w:ascii="Arial" w:cs="Arial" w:eastAsia="Arial" w:hAnsi="Arial"/>
          <w:b w:val="false"/>
          <w:bCs w:val="false"/>
          <w:i w:val="false"/>
          <w:iCs w:val="false"/>
        </w:rPr>
        <w:t xml:space="preserve">Metadata is gossiped across the DAG mempool. Validators see only metadata during ordering; content stays encrypted. This is the structural MEV barrier.</w:t>
      </w:r>
    </w:p>
    <w:p>
      <w:pPr>
        <w:pStyle w:val="ListParagraph"/>
        <w:numPr>
          <w:ilvl w:val="0"/>
          <w:numId w:val="2"/>
        </w:numPr>
        <w:spacing w:after="100" w:line="276"/>
      </w:pPr>
      <w:r>
        <w:rPr>
          <w:rFonts w:ascii="Arial" w:cs="Arial" w:eastAsia="Arial" w:hAnsi="Arial"/>
          <w:b/>
          <w:bCs/>
          <w:i w:val="false"/>
          <w:iCs w:val="false"/>
        </w:rPr>
        <w:t xml:space="preserve">Ordering. </w:t>
      </w:r>
      <w:r>
        <w:rPr>
          <w:rFonts w:ascii="Arial" w:cs="Arial" w:eastAsia="Arial" w:hAnsi="Arial"/>
          <w:b w:val="false"/>
          <w:bCs w:val="false"/>
          <w:i w:val="false"/>
          <w:iCs w:val="false"/>
        </w:rPr>
        <w:t xml:space="preserve">The DAG-BFT layer deterministically orders all transactions within the epoch (~1 s) via the ProtoLedger Commit Rule (PCR).</w:t>
      </w:r>
    </w:p>
    <w:p>
      <w:pPr>
        <w:pStyle w:val="ListParagraph"/>
        <w:numPr>
          <w:ilvl w:val="0"/>
          <w:numId w:val="2"/>
        </w:numPr>
        <w:spacing w:after="100" w:line="276"/>
      </w:pPr>
      <w:r>
        <w:rPr>
          <w:rFonts w:ascii="Arial" w:cs="Arial" w:eastAsia="Arial" w:hAnsi="Arial"/>
          <w:b/>
          <w:bCs/>
          <w:i w:val="false"/>
          <w:iCs w:val="false"/>
        </w:rPr>
        <w:t xml:space="preserve">Execution. </w:t>
      </w:r>
      <w:r>
        <w:rPr>
          <w:rFonts w:ascii="Arial" w:cs="Arial" w:eastAsia="Arial" w:hAnsi="Arial"/>
          <w:b w:val="false"/>
          <w:bCs w:val="false"/>
          <w:i w:val="false"/>
          <w:iCs w:val="false"/>
        </w:rPr>
        <w:t xml:space="preserve">The WASM environment applies ordered transactions; content is decrypted only after ordering is irrevocable.</w:t>
      </w:r>
    </w:p>
    <w:p>
      <w:pPr>
        <w:pStyle w:val="ListParagraph"/>
        <w:numPr>
          <w:ilvl w:val="0"/>
          <w:numId w:val="2"/>
        </w:numPr>
        <w:spacing w:after="100" w:line="276"/>
      </w:pPr>
      <w:r>
        <w:rPr>
          <w:rFonts w:ascii="Arial" w:cs="Arial" w:eastAsia="Arial" w:hAnsi="Arial"/>
          <w:b/>
          <w:bCs/>
          <w:i w:val="false"/>
          <w:iCs w:val="false"/>
        </w:rPr>
        <w:t xml:space="preserve">Proof &amp; finality. </w:t>
      </w:r>
      <w:r>
        <w:rPr>
          <w:rFonts w:ascii="Arial" w:cs="Arial" w:eastAsia="Arial" w:hAnsi="Arial"/>
          <w:b w:val="false"/>
          <w:bCs w:val="false"/>
          <w:i w:val="false"/>
          <w:iCs w:val="false"/>
        </w:rPr>
        <w:t xml:space="preserve">A recursive zk-STARK proves the epoch’s state transition. Finality is deterministic — no confirmation wait, no reorg.</w:t>
      </w:r>
    </w:p>
    <w:p>
      <w:pPr>
        <w:pStyle w:val="Heading1"/>
        <w:spacing w:after="160" w:before="300"/>
      </w:pPr>
      <w:r>
        <w:rPr>
          <w:rFonts w:ascii="Arial" w:cs="Arial" w:eastAsia="Arial" w:hAnsi="Arial"/>
        </w:rPr>
        <w:t xml:space="preserve">3.  Consensus: DAG-BFT with Proof-of-Useful-Stake</w:t>
      </w:r>
    </w:p>
    <w:p>
      <w:pPr>
        <w:spacing w:after="140" w:before="0" w:line="276"/>
      </w:pPr>
      <w:r>
        <w:rPr>
          <w:rFonts w:ascii="Arial" w:cs="Arial" w:eastAsia="Arial" w:hAnsi="Arial"/>
          <w:b w:val="false"/>
          <w:bCs w:val="false"/>
          <w:i w:val="false"/>
          <w:iCs w:val="false"/>
        </w:rPr>
        <w:t xml:space="preserve">PLC separates data dissemination from consensus ordering, following the Narwhal → Bullshark → Shoal++ research lineage (2021–2025). Validators continuously batch-certify transactions into vertices linked to a quorum of the previous round, building a DAG; the PCR then delivers all causally reachable transactions in a deterministic total order with no extra consensus messages in the common case.</w:t>
      </w:r>
    </w:p>
    <w:p>
      <w:pPr>
        <w:spacing w:after="140" w:before="0" w:line="276"/>
      </w:pPr>
      <w:r>
        <w:rPr>
          <w:rFonts w:ascii="Arial" w:cs="Arial" w:eastAsia="Arial" w:hAnsi="Arial"/>
          <w:b w:val="false"/>
          <w:bCs w:val="false"/>
          <w:i w:val="false"/>
          <w:iCs w:val="false"/>
        </w:rPr>
        <w:t xml:space="preserve">Safety holds while fewer than n/3 validators are Byzantine — a proof under partial synchrony, not a heuristic. Liveness is bounded under partial synchrony regardless of adversarial scheduling. </w:t>
      </w:r>
      <w:r>
        <w:rPr>
          <w:rFonts w:ascii="Arial" w:cs="Arial" w:eastAsia="Arial" w:hAnsi="Arial"/>
          <w:b/>
          <w:bCs/>
          <w:i w:val="false"/>
          <w:iCs w:val="false"/>
        </w:rPr>
        <w:t xml:space="preserve">Throughput figures are design targets, not measurements: </w:t>
      </w:r>
      <w:r>
        <w:rPr>
          <w:rFonts w:ascii="Arial" w:cs="Arial" w:eastAsia="Arial" w:hAnsi="Arial"/>
          <w:b w:val="false"/>
          <w:bCs w:val="false"/>
          <w:i w:val="false"/>
          <w:iCs w:val="false"/>
        </w:rPr>
        <w:t xml:space="preserve">the often-quoted ~47,000 TPS at 128 validators is an illustrative projection from published Shoal++-class benchmarks, and is flagged Buildable, not Achieved, throughout this document.</w:t>
      </w:r>
    </w:p>
    <w:p>
      <w:pPr>
        <w:pStyle w:val="Heading2"/>
        <w:spacing w:after="120" w:before="220"/>
      </w:pPr>
      <w:r>
        <w:rPr>
          <w:rFonts w:ascii="Arial" w:cs="Arial" w:eastAsia="Arial" w:hAnsi="Arial"/>
        </w:rPr>
        <w:t xml:space="preserve">3.1  Proof-of-Useful-Stake</w:t>
      </w:r>
    </w:p>
    <w:p>
      <w:pPr>
        <w:spacing w:after="140" w:before="0" w:line="276"/>
      </w:pPr>
      <w:r>
        <w:rPr>
          <w:rFonts w:ascii="Arial" w:cs="Arial" w:eastAsia="Arial" w:hAnsi="Arial"/>
          <w:b w:val="false"/>
          <w:bCs w:val="false"/>
          <w:i w:val="false"/>
          <w:iCs w:val="false"/>
        </w:rPr>
        <w:t xml:space="preserve">Effective validator weight rewards contribution without letting hardware-rich validators capture consensus:</w:t>
      </w:r>
    </w:p>
    <w:p>
      <w:pPr>
        <w:spacing w:after="140" w:before="0" w:line="276"/>
      </w:pPr>
      <w:r>
        <w:rPr>
          <w:rFonts w:ascii="Arial" w:cs="Arial" w:eastAsia="Arial" w:hAnsi="Arial"/>
          <w:b w:val="false"/>
          <w:bCs w:val="false"/>
          <w:i w:val="false"/>
          <w:iCs w:val="false"/>
          <w:color w:val="1F3864"/>
        </w:rPr>
        <w:t xml:space="preserve">Wᵢ = sᵢ × (1 + α × tanh(uᵢ / Ū)),  with α = 0.4 (cap: passive stake × 1.4).</w:t>
      </w:r>
    </w:p>
    <w:p>
      <w:pPr>
        <w:spacing w:after="140" w:before="0" w:line="276"/>
      </w:pPr>
      <w:r>
        <w:rPr>
          <w:rFonts w:ascii="Arial" w:cs="Arial" w:eastAsia="Arial" w:hAnsi="Arial"/>
          <w:b w:val="false"/>
          <w:bCs w:val="false"/>
          <w:i w:val="false"/>
          <w:iCs w:val="false"/>
        </w:rPr>
        <w:t xml:space="preserve">Useful work — zk-STARK proof generation, data-availability sampling, state-pruning attestations — is verifiable on-chain without a trusted oracle. The α cap prevents a new centralisation vector where the wealthiest validators also run the most hardware. Committee selection uses a hash-based, post-quantum VDF (Boneh et al., CRYPTO 2018) seeded by the previous epoch’s final block, so no validator can predict or bias the draw.</w:t>
      </w:r>
    </w:p>
    <w:p>
      <w:pPr>
        <w:pStyle w:val="Heading1"/>
        <w:spacing w:after="160" w:before="300"/>
      </w:pPr>
      <w:r>
        <w:rPr>
          <w:rFonts w:ascii="Arial" w:cs="Arial" w:eastAsia="Arial" w:hAnsi="Arial"/>
        </w:rPr>
        <w:t xml:space="preserve">4.  Cryptographic Architecture</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9360"/>
      </w:tblGrid>
      <w:tr>
        <w:trPr>
          <w:tblHeader w:val="false"/>
        </w:trPr>
        <w:tc>
          <w:tcPr>
            <w:tcW w:type="dxa" w:w="9360"/>
            <w:tcBorders>
              <w:top w:val="single" w:color="BFBFBF" w:sz="1"/>
              <w:left w:val="single" w:color="BFBFBF" w:sz="1"/>
              <w:bottom w:val="single" w:color="BFBFBF" w:sz="1"/>
              <w:right w:val="single" w:color="BFBFBF" w:sz="1"/>
            </w:tcBorders>
            <w:shd w:fill="FFF2CC"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rPr>
              <w:t xml:space="preserve">Correction from v1.0.  </w:t>
            </w:r>
            <w:r>
              <w:rPr>
                <w:rFonts w:ascii="Arial" w:cs="Arial" w:eastAsia="Arial" w:hAnsi="Arial"/>
                <w:b w:val="false"/>
                <w:bCs w:val="false"/>
                <w:i w:val="false"/>
                <w:iCs w:val="false"/>
              </w:rPr>
              <w:t xml:space="preserve">v1.0 stated that Falcon-512 was “NIST FIPS 206, standardised August 2024.” This is inaccurate on both counts. The standards finalised in August 2024 were ML-KEM (FIPS 203), ML-DSA (FIPS 204), and SLH-DSA (FIPS 205). </w:t>
            </w:r>
            <w:r>
              <w:rPr>
                <w:rFonts w:ascii="Arial" w:cs="Arial" w:eastAsia="Arial" w:hAnsi="Arial"/>
                <w:b/>
                <w:bCs/>
                <w:i w:val="false"/>
                <w:iCs w:val="false"/>
              </w:rPr>
              <w:t xml:space="preserve">FN-DSA / Falcon (FIPS 206) remains a draft as of June 2026, with final publication expected late 2026 or early 2027.</w:t>
            </w:r>
            <w:r>
              <w:rPr>
                <w:rFonts w:ascii="Arial" w:cs="Arial" w:eastAsia="Arial" w:hAnsi="Arial"/>
                <w:b w:val="false"/>
                <w:bCs w:val="false"/>
                <w:i w:val="false"/>
                <w:iCs w:val="false"/>
              </w:rPr>
              <w:t xml:space="preserve"> A system that called itself “post-quantum from block zero” on an unfinalised primitive was building on parameters that can still shift. v2.0 fixes both the fact and the underlying design error.</w:t>
            </w:r>
          </w:p>
        </w:tc>
      </w:tr>
    </w:tbl>
    <w:p>
      <w:pPr>
        <w:pStyle w:val="Heading2"/>
        <w:spacing w:after="120" w:before="220"/>
      </w:pPr>
      <w:r>
        <w:rPr>
          <w:rFonts w:ascii="Arial" w:cs="Arial" w:eastAsia="Arial" w:hAnsi="Arial"/>
        </w:rPr>
        <w:t xml:space="preserve">4.1  Algorithm agility, not a single hard-wired scheme</w:t>
      </w:r>
    </w:p>
    <w:p>
      <w:pPr>
        <w:spacing w:after="140" w:before="0" w:line="276"/>
      </w:pPr>
      <w:r>
        <w:rPr>
          <w:rFonts w:ascii="Arial" w:cs="Arial" w:eastAsia="Arial" w:hAnsi="Arial"/>
          <w:b w:val="false"/>
          <w:bCs w:val="false"/>
          <w:i w:val="false"/>
          <w:iCs w:val="false"/>
        </w:rPr>
        <w:t xml:space="preserve">v1.0 criticised Bitcoin’s ECDSA lock-in and then proposed locking in a single, not-yet-final lattice scheme. v2.0 does not repeat the mistake. The signature scheme is a </w:t>
      </w:r>
      <w:r>
        <w:rPr>
          <w:rFonts w:ascii="Arial" w:cs="Arial" w:eastAsia="Arial" w:hAnsi="Arial"/>
          <w:b/>
          <w:bCs/>
          <w:i w:val="false"/>
          <w:iCs w:val="false"/>
        </w:rPr>
        <w:t xml:space="preserve">governable protocol parameter</w:t>
      </w:r>
      <w:r>
        <w:rPr>
          <w:rFonts w:ascii="Arial" w:cs="Arial" w:eastAsia="Arial" w:hAnsi="Arial"/>
          <w:b w:val="false"/>
          <w:bCs w:val="false"/>
          <w:i w:val="false"/>
          <w:iCs w:val="false"/>
        </w:rPr>
        <w:t xml:space="preserve">: every account declares the scheme it uses, and governance can register new schemes or retire broken ones without a contentious hard fork.</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2600"/>
        <w:gridCol w:w="2200"/>
        <w:gridCol w:w="4560"/>
      </w:tblGrid>
      <w:tr>
        <w:trPr>
          <w:tblHeader/>
        </w:trPr>
        <w:tc>
          <w:tcPr>
            <w:tcW w:type="dxa" w:w="26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Role</w:t>
            </w:r>
          </w:p>
        </w:tc>
        <w:tc>
          <w:tcPr>
            <w:tcW w:type="dxa" w:w="22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Scheme</w:t>
            </w:r>
          </w:p>
        </w:tc>
        <w:tc>
          <w:tcPr>
            <w:tcW w:type="dxa" w:w="456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Status / rationale</w:t>
            </w:r>
          </w:p>
        </w:tc>
      </w:tr>
      <w:tr>
        <w:trPr>
          <w:tblHeader w:val="false"/>
        </w:trPr>
        <w:tc>
          <w:tcPr>
            <w:tcW w:type="dxa" w:w="26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Mandatory baseline (transaction signing)</w:t>
            </w:r>
          </w:p>
        </w:tc>
        <w:tc>
          <w:tcPr>
            <w:tcW w:type="dxa" w:w="22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ML-DSA (Dilithium, FIPS 204)</w:t>
            </w:r>
          </w:p>
        </w:tc>
        <w:tc>
          <w:tcPr>
            <w:tcW w:type="dxa" w:w="45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Finalised August 2024. Every implementation must support it; it is the floor the network can always fall back to.</w:t>
            </w:r>
          </w:p>
        </w:tc>
      </w:tr>
      <w:tr>
        <w:trPr>
          <w:tblHeader w:val="false"/>
        </w:trPr>
        <w:tc>
          <w:tcPr>
            <w:tcW w:type="dxa" w:w="26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Optional compact signing</w:t>
            </w:r>
          </w:p>
        </w:tc>
        <w:tc>
          <w:tcPr>
            <w:tcW w:type="dxa" w:w="22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FN-DSA / Falcon-512</w:t>
            </w:r>
          </w:p>
        </w:tc>
        <w:tc>
          <w:tcPr>
            <w:tcW w:type="dxa" w:w="45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Permitted once FIPS 206 is final (expected late 2026–early 2027). Smaller signatures; flagged </w:t>
            </w:r>
            <w:r>
              <w:rPr>
                <w:rFonts w:ascii="Arial" w:cs="Arial" w:eastAsia="Arial" w:hAnsi="Arial"/>
                <w:b/>
                <w:bCs/>
                <w:i w:val="false"/>
                <w:iCs w:val="false"/>
              </w:rPr>
              <w:t xml:space="preserve">Buildable</w:t>
            </w:r>
            <w:r>
              <w:rPr>
                <w:rFonts w:ascii="Arial" w:cs="Arial" w:eastAsia="Arial" w:hAnsi="Arial"/>
                <w:b w:val="false"/>
                <w:bCs w:val="false"/>
                <w:i w:val="false"/>
                <w:iCs w:val="false"/>
              </w:rPr>
              <w:t xml:space="preserve"> until then.</w:t>
            </w:r>
          </w:p>
        </w:tc>
      </w:tr>
      <w:tr>
        <w:trPr>
          <w:tblHeader w:val="false"/>
        </w:trPr>
        <w:tc>
          <w:tcPr>
            <w:tcW w:type="dxa" w:w="26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Conservative consensus messages</w:t>
            </w:r>
          </w:p>
        </w:tc>
        <w:tc>
          <w:tcPr>
            <w:tcW w:type="dxa" w:w="22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ML-DSA (higher parameter set)</w:t>
            </w:r>
          </w:p>
        </w:tc>
        <w:tc>
          <w:tcPr>
            <w:tcW w:type="dxa" w:w="45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Larger margin for the higher-value consensus layer.</w:t>
            </w:r>
          </w:p>
        </w:tc>
      </w:tr>
      <w:tr>
        <w:trPr>
          <w:tblHeader w:val="false"/>
        </w:trPr>
        <w:tc>
          <w:tcPr>
            <w:tcW w:type="dxa" w:w="26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Key encapsulation</w:t>
            </w:r>
          </w:p>
        </w:tc>
        <w:tc>
          <w:tcPr>
            <w:tcW w:type="dxa" w:w="22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ML-KEM-768 (FIPS 203)</w:t>
            </w:r>
          </w:p>
        </w:tc>
        <w:tc>
          <w:tcPr>
            <w:tcW w:type="dxa" w:w="45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Finalised. Post-quantum replacement for ECDH; recipient public key committed at registration.</w:t>
            </w:r>
          </w:p>
        </w:tc>
      </w:tr>
    </w:tbl>
    <w:p>
      <w:pPr>
        <w:pStyle w:val="Heading2"/>
        <w:spacing w:after="120" w:before="220"/>
      </w:pPr>
      <w:r>
        <w:rPr>
          <w:rFonts w:ascii="Arial" w:cs="Arial" w:eastAsia="Arial" w:hAnsi="Arial"/>
        </w:rPr>
        <w:t xml:space="preserve">4.2  Hashing, proofs, and aggregation</w:t>
      </w:r>
    </w:p>
    <w:p>
      <w:pPr>
        <w:spacing w:after="140" w:before="0" w:line="276"/>
      </w:pPr>
      <w:r>
        <w:rPr>
          <w:rFonts w:ascii="Arial" w:cs="Arial" w:eastAsia="Arial" w:hAnsi="Arial"/>
          <w:b w:val="false"/>
          <w:bCs w:val="false"/>
          <w:i w:val="false"/>
          <w:iCs w:val="false"/>
        </w:rPr>
        <w:t xml:space="preserve">Commitments use SHA3-256 (FIPS 202); performance-sensitive paths (Merkle and state tries) use BLAKE3; both retain 128-bit post-quantum security under Grover. The zero-knowledge system is Circle STARKs (StarkWare, 2024): no trusted setup, and post-quantum by construction since security rests on hash collision resistance, not elliptic curves. A single recursive STARK compresses an epoch’s transitions into one proof a light node verifies in milliseconds. Consensus messages use a lattice-based folding scheme (LatticeFold+ lineage) to produce constant-size aggregate proofs regardless of signer count. The folding-scheme maturity is flagged Buildable, not Achieved.</w:t>
      </w:r>
    </w:p>
    <w:p>
      <w:pPr>
        <w:pStyle w:val="Heading1"/>
        <w:spacing w:after="160" w:before="300"/>
      </w:pPr>
      <w:r>
        <w:rPr>
          <w:rFonts w:ascii="Arial" w:cs="Arial" w:eastAsia="Arial" w:hAnsi="Arial"/>
        </w:rPr>
        <w:t xml:space="preserve">5.  Privacy Architecture</w:t>
      </w:r>
    </w:p>
    <w:p>
      <w:pPr>
        <w:spacing w:after="140" w:before="0" w:line="276"/>
      </w:pPr>
      <w:r>
        <w:rPr>
          <w:rFonts w:ascii="Arial" w:cs="Arial" w:eastAsia="Arial" w:hAnsi="Arial"/>
          <w:b w:val="false"/>
          <w:bCs w:val="false"/>
          <w:i w:val="false"/>
          <w:iCs w:val="false"/>
        </w:rPr>
        <w:t xml:space="preserve">Every PLC transaction is shielded by default; a transparent transfer is an opt-in exception. The anonymity-set argument is the point: where privacy is optional, the private set is small and statistically isolable; where every transaction is private, each contributes to every other’s anonymity set, and the guarantee is qualitatively different. Amounts use Pedersen commitments; identities use signature-key hashes; STARK proofs attest validity without revealing values. The chain records a nullifier, a commitment, an encrypted note, a proof, and a plaintext fee bid — nothing more.</w:t>
      </w:r>
    </w:p>
    <w:p>
      <w:pPr>
        <w:spacing w:after="140" w:before="0" w:line="276"/>
      </w:pPr>
      <w:r>
        <w:rPr>
          <w:rFonts w:ascii="Arial" w:cs="Arial" w:eastAsia="Arial" w:hAnsi="Arial"/>
          <w:b w:val="false"/>
          <w:bCs w:val="false"/>
          <w:i w:val="false"/>
          <w:iCs w:val="false"/>
        </w:rPr>
        <w:t xml:space="preserve">Privacy by default is not privacy from everyone forever. </w:t>
      </w:r>
      <w:r>
        <w:rPr>
          <w:rFonts w:ascii="Arial" w:cs="Arial" w:eastAsia="Arial" w:hAnsi="Arial"/>
          <w:b/>
          <w:bCs/>
          <w:i w:val="false"/>
          <w:iCs w:val="false"/>
        </w:rPr>
        <w:t xml:space="preserve">Viewing keys</w:t>
      </w:r>
      <w:r>
        <w:rPr>
          <w:rFonts w:ascii="Arial" w:cs="Arial" w:eastAsia="Arial" w:hAnsi="Arial"/>
          <w:b w:val="false"/>
          <w:bCs w:val="false"/>
          <w:i w:val="false"/>
          <w:iCs w:val="false"/>
        </w:rPr>
        <w:t xml:space="preserve"> let a holder grant a named third party time-boxed, revocable read access; </w:t>
      </w:r>
      <w:r>
        <w:rPr>
          <w:rFonts w:ascii="Arial" w:cs="Arial" w:eastAsia="Arial" w:hAnsi="Arial"/>
          <w:b/>
          <w:bCs/>
          <w:i w:val="false"/>
          <w:iCs w:val="false"/>
        </w:rPr>
        <w:t xml:space="preserve">compliance proofs</w:t>
      </w:r>
      <w:r>
        <w:rPr>
          <w:rFonts w:ascii="Arial" w:cs="Arial" w:eastAsia="Arial" w:hAnsi="Arial"/>
          <w:b w:val="false"/>
          <w:bCs w:val="false"/>
          <w:i w:val="false"/>
          <w:iCs w:val="false"/>
        </w:rPr>
        <w:t xml:space="preserve"> let a holder prove a property (all amounts below a threshold, all counterparties on an approved list) without revealing individual transactions. Both are generated by the user, never by a protocol backdoor. Note that privacy posture is a </w:t>
      </w:r>
      <w:r>
        <w:rPr>
          <w:rFonts w:ascii="Arial" w:cs="Arial" w:eastAsia="Arial" w:hAnsi="Arial"/>
          <w:b w:val="false"/>
          <w:bCs w:val="false"/>
          <w:i/>
          <w:iCs/>
        </w:rPr>
        <w:t xml:space="preserve">contested value</w:t>
      </w:r>
      <w:r>
        <w:rPr>
          <w:rFonts w:ascii="Arial" w:cs="Arial" w:eastAsia="Arial" w:hAnsi="Arial"/>
          <w:b w:val="false"/>
          <w:bCs w:val="false"/>
          <w:i w:val="false"/>
          <w:iCs w:val="false"/>
        </w:rPr>
        <w:t xml:space="preserve">: Section 11 </w:t>
      </w:r>
      <w:r>
        <w:rPr>
          <w:rFonts w:ascii="Arial" w:cs="Arial" w:eastAsia="Arial" w:hAnsi="Arial"/>
          <w:b w:val="false"/>
          <w:bCs w:val="false"/>
          <w:i/>
          <w:iCs/>
        </w:rPr>
        <w:t xml:space="preserve">discloses</w:t>
      </w:r>
      <w:r>
        <w:rPr>
          <w:rFonts w:ascii="Arial" w:cs="Arial" w:eastAsia="Arial" w:hAnsi="Arial"/>
          <w:b w:val="false"/>
          <w:bCs w:val="false"/>
          <w:i w:val="false"/>
          <w:iCs w:val="false"/>
        </w:rPr>
        <w:t xml:space="preserve"> PLC’s position on the privacy axis rather than scoring it, exactly as the Standard requires.</w:t>
      </w:r>
    </w:p>
    <w:p>
      <w:pPr>
        <w:pStyle w:val="Heading1"/>
        <w:spacing w:after="160" w:before="300"/>
      </w:pPr>
      <w:r>
        <w:rPr>
          <w:rFonts w:ascii="Arial" w:cs="Arial" w:eastAsia="Arial" w:hAnsi="Arial"/>
        </w:rPr>
        <w:t xml:space="preserve">6.  Scalability — and an honest resource budget</w:t>
      </w:r>
    </w:p>
    <w:p>
      <w:pPr>
        <w:spacing w:after="140" w:before="0" w:line="276"/>
      </w:pPr>
      <w:r>
        <w:rPr>
          <w:rFonts w:ascii="Arial" w:cs="Arial" w:eastAsia="Arial" w:hAnsi="Arial"/>
          <w:b w:val="false"/>
          <w:bCs w:val="false"/>
          <w:i w:val="false"/>
          <w:iCs w:val="false"/>
        </w:rPr>
        <w:t xml:space="preserve">Within each ~1-second epoch, multiple validators propose epoch-blocks that the PCR orders deterministically at close, so throughput scales with aggregate validator bandwidth rather than a single leader. State lives in a sparse Merkle trie partitioned across validators by account-prefix range; light clients verify against the current root without downloading history; state pruning is a paid useful-work task.</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9360"/>
      </w:tblGrid>
      <w:tr>
        <w:trPr>
          <w:tblHeader w:val="false"/>
        </w:trPr>
        <w:tc>
          <w:tcPr>
            <w:tcW w:type="dxa" w:w="9360"/>
            <w:tcBorders>
              <w:top w:val="single" w:color="BFBFBF" w:sz="1"/>
              <w:left w:val="single" w:color="BFBFBF" w:sz="1"/>
              <w:bottom w:val="single" w:color="BFBFBF" w:sz="1"/>
              <w:right w:val="single" w:color="BFBFBF" w:sz="1"/>
            </w:tcBorders>
            <w:shd w:fill="FFF2CC"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rPr>
              <w:t xml:space="preserve">Where v1.0 over-promised.  </w:t>
            </w:r>
            <w:r>
              <w:rPr>
                <w:rFonts w:ascii="Arial" w:cs="Arial" w:eastAsia="Arial" w:hAnsi="Arial"/>
                <w:b w:val="false"/>
                <w:bCs w:val="false"/>
                <w:i w:val="false"/>
                <w:iCs w:val="false"/>
              </w:rPr>
              <w:t xml:space="preserve">A headline of tens of thousands of TPS with a ~2.4 GB epoch block implies large per-validator bandwidth and effectively unbounded history and state growth; “stored distributed, not per-node” relocates that cost without bounding it. v2.0 commits to publishing a concrete resource budget — required bandwidth and storage per validator at target throughput, plus a state-expiry / statelessness plan — before any TPS figure is quoted as anything other than an illustrative ceiling. Claim less; show the arithmetic.</w:t>
            </w:r>
          </w:p>
        </w:tc>
      </w:tr>
    </w:tbl>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3120"/>
        <w:gridCol w:w="3120"/>
        <w:gridCol w:w="3120"/>
      </w:tblGrid>
      <w:tr>
        <w:trPr>
          <w:tblHeader/>
        </w:trPr>
        <w:tc>
          <w:tcPr>
            <w:tcW w:type="dxa" w:w="312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Metric</w:t>
            </w:r>
          </w:p>
        </w:tc>
        <w:tc>
          <w:tcPr>
            <w:tcW w:type="dxa" w:w="312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Illustrative target</w:t>
            </w:r>
          </w:p>
        </w:tc>
        <w:tc>
          <w:tcPr>
            <w:tcW w:type="dxa" w:w="312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Readiness</w:t>
            </w:r>
          </w:p>
        </w:tc>
      </w:tr>
      <w:tr>
        <w:trPr>
          <w:tblHeader w:val="false"/>
        </w:trPr>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TPS (median, 128 validators)</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~47,000</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 (projection)</w:t>
            </w:r>
          </w:p>
        </w:tc>
      </w:tr>
      <w:tr>
        <w:trPr>
          <w:tblHeader w:val="false"/>
        </w:trPr>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Finality (median / p99)</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&lt; 920 ms / &lt; 1,400 ms</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 (projection)</w:t>
            </w:r>
          </w:p>
        </w:tc>
      </w:tr>
      <w:tr>
        <w:trPr>
          <w:tblHeader w:val="false"/>
        </w:trPr>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Transaction size</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~520 bytes</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r>
      <w:tr>
        <w:trPr>
          <w:tblHeader w:val="false"/>
        </w:trPr>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Per-validator resource budget</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to be published</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Open problem</w:t>
            </w:r>
          </w:p>
        </w:tc>
      </w:tr>
    </w:tbl>
    <w:p>
      <w:pPr>
        <w:pStyle w:val="Heading1"/>
        <w:spacing w:after="160" w:before="300"/>
      </w:pPr>
      <w:r>
        <w:rPr>
          <w:rFonts w:ascii="Arial" w:cs="Arial" w:eastAsia="Arial" w:hAnsi="Arial"/>
        </w:rPr>
        <w:t xml:space="preserve">7.  MEV Resistance</w:t>
      </w:r>
    </w:p>
    <w:p>
      <w:pPr>
        <w:spacing w:after="140" w:before="0" w:line="276"/>
      </w:pPr>
      <w:r>
        <w:rPr>
          <w:rFonts w:ascii="Arial" w:cs="Arial" w:eastAsia="Arial" w:hAnsi="Arial"/>
          <w:b w:val="false"/>
          <w:bCs w:val="false"/>
          <w:i w:val="false"/>
          <w:iCs w:val="false"/>
        </w:rPr>
        <w:t xml:space="preserve">The root cause of MEV is that validators see content before committing to an order. PLC removes the precondition: content (amount, recipient, proof) is encrypted under the recipient’s ML-KEM key before gossip, the mempool carries only metadata, validators order by fee bid, and content is decrypted only after PCR has irrevocably committed the order. With no visibility into content, there is no profitable reordering — frontrunning and sandwich attacks are eliminated structurally, not merely monitored. An EIP-1559-style base fee (burned) plus a small priority tip funds inclusion without creating a reordering incentive. In Standard terms this targets outcome B7, No Invisible Rent.</w:t>
      </w:r>
    </w:p>
    <w:p>
      <w:pPr>
        <w:pStyle w:val="Heading1"/>
        <w:spacing w:after="160" w:before="300"/>
      </w:pPr>
      <w:r>
        <w:rPr>
          <w:rFonts w:ascii="Arial" w:cs="Arial" w:eastAsia="Arial" w:hAnsi="Arial"/>
        </w:rPr>
        <w:t xml:space="preserve">8.  Identity Layer: Sybil-Resistant Proof of Personhood</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9360"/>
      </w:tblGrid>
      <w:tr>
        <w:trPr>
          <w:tblHeader w:val="false"/>
        </w:trPr>
        <w:tc>
          <w:tcPr>
            <w:tcW w:type="dxa" w:w="9360"/>
            <w:tcBorders>
              <w:top w:val="single" w:color="BFBFBF" w:sz="1"/>
              <w:left w:val="single" w:color="BFBFBF" w:sz="1"/>
              <w:bottom w:val="single" w:color="BFBFBF" w:sz="1"/>
              <w:right w:val="single" w:color="BFBFBF" w:sz="1"/>
            </w:tcBorders>
            <w:shd w:fill="E2EFDA"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rPr>
              <w:t xml:space="preserve">Design stance.  </w:t>
            </w:r>
            <w:r>
              <w:rPr>
                <w:rFonts w:ascii="Arial" w:cs="Arial" w:eastAsia="Arial" w:hAnsi="Arial"/>
                <w:b w:val="false"/>
                <w:bCs w:val="false"/>
                <w:i w:val="false"/>
                <w:iCs w:val="false"/>
              </w:rPr>
              <w:t xml:space="preserve">Proof-of-personhood is retained as a first-class feature; it is the anchor for the egalitarian mint and for one-person-one-voice governance. Two things from v1.0 change. </w:t>
            </w:r>
            <w:r>
              <w:rPr>
                <w:rFonts w:ascii="Arial" w:cs="Arial" w:eastAsia="Arial" w:hAnsi="Arial"/>
                <w:b/>
                <w:bCs/>
                <w:i w:val="false"/>
                <w:iCs w:val="false"/>
              </w:rPr>
              <w:t xml:space="preserve">DNA is replaced</w:t>
            </w:r>
            <w:r>
              <w:rPr>
                <w:rFonts w:ascii="Arial" w:cs="Arial" w:eastAsia="Arial" w:hAnsi="Arial"/>
                <w:b w:val="false"/>
                <w:bCs w:val="false"/>
                <w:i w:val="false"/>
                <w:iCs w:val="false"/>
              </w:rPr>
              <w:t xml:space="preserve"> as the biometric root, and the </w:t>
            </w:r>
            <w:r>
              <w:rPr>
                <w:rFonts w:ascii="Arial" w:cs="Arial" w:eastAsia="Arial" w:hAnsi="Arial"/>
                <w:b/>
                <w:bCs/>
                <w:i w:val="false"/>
                <w:iCs w:val="false"/>
              </w:rPr>
              <w:t xml:space="preserve">“100% reliable” claim is removed</w:t>
            </w:r>
            <w:r>
              <w:rPr>
                <w:rFonts w:ascii="Arial" w:cs="Arial" w:eastAsia="Arial" w:hAnsi="Arial"/>
                <w:b w:val="false"/>
                <w:bCs w:val="false"/>
                <w:i w:val="false"/>
                <w:iCs w:val="false"/>
              </w:rPr>
              <w:t xml:space="preserve"> — a personhood system advertising 100% is the same category of overclaim as a chain scoring itself 100/100.</w:t>
            </w:r>
          </w:p>
        </w:tc>
      </w:tr>
    </w:tbl>
    <w:p>
      <w:pPr>
        <w:pStyle w:val="Heading2"/>
        <w:spacing w:after="120" w:before="220"/>
      </w:pPr>
      <w:r>
        <w:rPr>
          <w:rFonts w:ascii="Arial" w:cs="Arial" w:eastAsia="Arial" w:hAnsi="Arial"/>
        </w:rPr>
        <w:t xml:space="preserve">8.1  Why not DNA</w:t>
      </w:r>
    </w:p>
    <w:p>
      <w:pPr>
        <w:spacing w:after="140" w:before="0" w:line="276"/>
      </w:pPr>
      <w:r>
        <w:rPr>
          <w:rFonts w:ascii="Arial" w:cs="Arial" w:eastAsia="Arial" w:hAnsi="Arial"/>
          <w:b w:val="false"/>
          <w:bCs w:val="false"/>
          <w:i w:val="false"/>
          <w:iCs w:val="false"/>
        </w:rPr>
        <w:t xml:space="preserve">A cryptographic identity anchor should ideally be secret, revocable, and rotatable. DNA is none of these: it is shed on every surface, cannot be changed after compromise, leaks information about relatives, and the promise of “loci with zero medical or ancestral inference” must hold forever against future genomics. A global registry keyed to human DNA is also a honeypot and a political non-starter regardless of any zero-knowledge wrapper. The replacement separates the two jobs a personhood system actually has — uniqueness and liveness — because no single modality is best at both.</w:t>
      </w:r>
    </w:p>
    <w:p>
      <w:pPr>
        <w:pStyle w:val="Heading2"/>
        <w:spacing w:after="120" w:before="220"/>
      </w:pPr>
      <w:r>
        <w:rPr>
          <w:rFonts w:ascii="Arial" w:cs="Arial" w:eastAsia="Arial" w:hAnsi="Arial"/>
        </w:rPr>
        <w:t xml:space="preserve">8.2  The modality stack</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2200"/>
        <w:gridCol w:w="1900"/>
        <w:gridCol w:w="5260"/>
      </w:tblGrid>
      <w:tr>
        <w:trPr>
          <w:tblHeader/>
        </w:trPr>
        <w:tc>
          <w:tcPr>
            <w:tcW w:type="dxa" w:w="22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Job</w:t>
            </w:r>
          </w:p>
        </w:tc>
        <w:tc>
          <w:tcPr>
            <w:tcW w:type="dxa" w:w="19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Modality</w:t>
            </w:r>
          </w:p>
        </w:tc>
        <w:tc>
          <w:tcPr>
            <w:tcW w:type="dxa" w:w="526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Why</w:t>
            </w:r>
          </w:p>
        </w:tc>
      </w:tr>
      <w:tr>
        <w:trPr>
          <w:tblHeader w:val="false"/>
        </w:trPr>
        <w:tc>
          <w:tcPr>
            <w:tcW w:type="dxa" w:w="22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Uniqueness (dedup against billions)</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Iris</w:t>
            </w:r>
          </w:p>
        </w:tc>
        <w:tc>
          <w:tcPr>
            <w:tcW w:type="dxa" w:w="52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Best-studied high-entropy modality proven at national-ID scale; stable across adult life; contactless. Beats fingerprint, face, and unvalidated exotics.</w:t>
            </w:r>
          </w:p>
        </w:tc>
      </w:tr>
      <w:tr>
        <w:trPr>
          <w:tblHeader w:val="false"/>
        </w:trPr>
        <w:tc>
          <w:tcPr>
            <w:tcW w:type="dxa" w:w="22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Liveness (alive &amp; present now)</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Subdermal vein (palm/finger)</w:t>
            </w:r>
          </w:p>
        </w:tc>
        <w:tc>
          <w:tcPr>
            <w:tcW w:type="dxa" w:w="52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Vein imaging requires live blood flow, giving intrinsic anti-spoofing iris alone lacks. You cannot present a fabricated or lifeless hand.</w:t>
            </w:r>
          </w:p>
        </w:tc>
      </w:tr>
      <w:tr>
        <w:trPr>
          <w:tblHeader w:val="false"/>
        </w:trPr>
        <w:tc>
          <w:tcPr>
            <w:tcW w:type="dxa" w:w="22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Binding</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Attested challenge–response</w:t>
            </w:r>
          </w:p>
        </w:tc>
        <w:tc>
          <w:tcPr>
            <w:tcW w:type="dxa" w:w="52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Real-time random challenge, multispectral capture, certified secure enclave attesting the scan happened live on real hardware — applied at point of use, not only at enrolment.</w:t>
            </w:r>
          </w:p>
        </w:tc>
      </w:tr>
    </w:tbl>
    <w:p>
      <w:pPr>
        <w:spacing w:after="140" w:before="0" w:line="276"/>
      </w:pPr>
      <w:r>
        <w:rPr>
          <w:rFonts w:ascii="Arial" w:cs="Arial" w:eastAsia="Arial" w:hAnsi="Arial"/>
          <w:b w:val="false"/>
          <w:bCs w:val="false"/>
          <w:i w:val="false"/>
          <w:iCs w:val="false"/>
        </w:rPr>
        <w:t xml:space="preserve">Combining independent modalities multiplies their effective false-match rates, pushing population-scale collisions very low while retries and a fallback manage false rejections. That is about as strong as biometrics get today.</w:t>
      </w:r>
    </w:p>
    <w:p>
      <w:pPr>
        <w:pStyle w:val="Heading2"/>
        <w:spacing w:after="120" w:before="220"/>
      </w:pPr>
      <w:r>
        <w:rPr>
          <w:rFonts w:ascii="Arial" w:cs="Arial" w:eastAsia="Arial" w:hAnsi="Arial"/>
        </w:rPr>
        <w:t xml:space="preserve">8.3  What actually decides whether it holds (and where “100%” dies)</w:t>
      </w:r>
    </w:p>
    <w:p>
      <w:pPr>
        <w:pStyle w:val="ListParagraph"/>
        <w:numPr>
          <w:ilvl w:val="0"/>
          <w:numId w:val="2"/>
        </w:numPr>
        <w:spacing w:after="100" w:line="276"/>
      </w:pPr>
      <w:r>
        <w:rPr>
          <w:rFonts w:ascii="Arial" w:cs="Arial" w:eastAsia="Arial" w:hAnsi="Arial"/>
          <w:b/>
          <w:bCs/>
          <w:i w:val="false"/>
          <w:iCs w:val="false"/>
        </w:rPr>
        <w:t xml:space="preserve">Error rates are a law, not a tuning bug. </w:t>
      </w:r>
      <w:r>
        <w:rPr>
          <w:rFonts w:ascii="Arial" w:cs="Arial" w:eastAsia="Arial" w:hAnsi="Arial"/>
          <w:b w:val="false"/>
          <w:bCs w:val="false"/>
          <w:i w:val="false"/>
          <w:iCs w:val="false"/>
        </w:rPr>
        <w:t xml:space="preserve">Tightening false-match worsens false-non-match. At population scale, tiny FMR still yields some collisions, and non-zero FNMR locks some real humans out of their money and vote. The honest spec publishes target FMR/FNMR and budgets for both failure directions, including how a wrongly-rejected human recovers.</w:t>
      </w:r>
    </w:p>
    <w:p>
      <w:pPr>
        <w:pStyle w:val="ListParagraph"/>
        <w:numPr>
          <w:ilvl w:val="0"/>
          <w:numId w:val="2"/>
        </w:numPr>
        <w:spacing w:after="100" w:line="276"/>
      </w:pPr>
      <w:r>
        <w:rPr>
          <w:rFonts w:ascii="Arial" w:cs="Arial" w:eastAsia="Arial" w:hAnsi="Arial"/>
          <w:b/>
          <w:bCs/>
          <w:i w:val="false"/>
          <w:iCs w:val="false"/>
        </w:rPr>
        <w:t xml:space="preserve">Enrolment integrity is the real root of trust. </w:t>
      </w:r>
      <w:r>
        <w:rPr>
          <w:rFonts w:ascii="Arial" w:cs="Arial" w:eastAsia="Arial" w:hAnsi="Arial"/>
          <w:b w:val="false"/>
          <w:bCs w:val="false"/>
          <w:i w:val="false"/>
          <w:iCs w:val="false"/>
        </w:rPr>
        <w:t xml:space="preserve">The biometric only guarantees the same person returns — not that the first enrolment was unique, uncoerced, and live. This needs decentralised, adversarial enrolment across independent operators (no single vendor), in-person verification, and a dispute window. Still imperfect; flagged Speculative.</w:t>
      </w:r>
    </w:p>
    <w:p>
      <w:pPr>
        <w:pStyle w:val="ListParagraph"/>
        <w:numPr>
          <w:ilvl w:val="0"/>
          <w:numId w:val="2"/>
        </w:numPr>
        <w:spacing w:after="100" w:line="276"/>
      </w:pPr>
      <w:r>
        <w:rPr>
          <w:rFonts w:ascii="Arial" w:cs="Arial" w:eastAsia="Arial" w:hAnsi="Arial"/>
          <w:b/>
          <w:bCs/>
          <w:i w:val="false"/>
          <w:iCs w:val="false"/>
        </w:rPr>
        <w:t xml:space="preserve">Coercion and credential rental is unsolved. </w:t>
      </w:r>
      <w:r>
        <w:rPr>
          <w:rFonts w:ascii="Arial" w:cs="Arial" w:eastAsia="Arial" w:hAnsi="Arial"/>
          <w:b w:val="false"/>
          <w:bCs w:val="false"/>
          <w:i w:val="false"/>
          <w:iCs w:val="false"/>
        </w:rPr>
        <w:t xml:space="preserve">Nothing stops a willing human enrolling and then renting the credential, or being coerced. The only real mitigation is live liveness at every high-value or governance action plus periodic re-attestation, which raises the cost of proxying without eliminating it.</w:t>
      </w:r>
    </w:p>
    <w:p>
      <w:pPr>
        <w:pStyle w:val="ListParagraph"/>
        <w:numPr>
          <w:ilvl w:val="0"/>
          <w:numId w:val="2"/>
        </w:numPr>
        <w:spacing w:after="100" w:line="276"/>
      </w:pPr>
      <w:r>
        <w:rPr>
          <w:rFonts w:ascii="Arial" w:cs="Arial" w:eastAsia="Arial" w:hAnsi="Arial"/>
          <w:b/>
          <w:bCs/>
          <w:i w:val="false"/>
          <w:iCs w:val="false"/>
        </w:rPr>
        <w:t xml:space="preserve">Universality forces a fallback, and the fallback is the weakest link. </w:t>
      </w:r>
      <w:r>
        <w:rPr>
          <w:rFonts w:ascii="Arial" w:cs="Arial" w:eastAsia="Arial" w:hAnsi="Arial"/>
          <w:b w:val="false"/>
          <w:bCs w:val="false"/>
          <w:i w:val="false"/>
          <w:iCs w:val="false"/>
        </w:rPr>
        <w:t xml:space="preserve">Some humans have no usable iris or veins, so a non-biometric path (in-person N-of-M web-of-trust) is required and must be labelled as the soft underbelly, designed with high friction rather than pretended away.</w:t>
      </w:r>
    </w:p>
    <w:p>
      <w:pPr>
        <w:pStyle w:val="ListParagraph"/>
        <w:numPr>
          <w:ilvl w:val="0"/>
          <w:numId w:val="2"/>
        </w:numPr>
        <w:spacing w:after="100" w:line="276"/>
      </w:pPr>
      <w:r>
        <w:rPr>
          <w:rFonts w:ascii="Arial" w:cs="Arial" w:eastAsia="Arial" w:hAnsi="Arial"/>
          <w:b/>
          <w:bCs/>
          <w:i w:val="false"/>
          <w:iCs w:val="false"/>
        </w:rPr>
        <w:t xml:space="preserve">Any global registry is a honeypot. </w:t>
      </w:r>
      <w:r>
        <w:rPr>
          <w:rFonts w:ascii="Arial" w:cs="Arial" w:eastAsia="Arial" w:hAnsi="Arial"/>
          <w:b w:val="false"/>
          <w:bCs w:val="false"/>
          <w:i w:val="false"/>
          <w:iCs w:val="false"/>
        </w:rPr>
        <w:t xml:space="preserve">Templates never leave the device: on-device extraction → fuzzy extractor → nullifier → ZK proof of uniqueness against a decentralised commitment set. Raw biometrics and templates touch neither chain nor server. The residual trust dependency on hardware vendor and enrolment oracle is named, not hidden.</w:t>
      </w:r>
    </w:p>
    <w:p>
      <w:pPr>
        <w:spacing w:after="140" w:before="0" w:line="276"/>
      </w:pPr>
      <w:r>
        <w:rPr>
          <w:rFonts w:ascii="Arial" w:cs="Arial" w:eastAsia="Arial" w:hAnsi="Arial"/>
          <w:b w:val="false"/>
          <w:bCs w:val="false"/>
          <w:i w:val="false"/>
          <w:iCs w:val="false"/>
        </w:rPr>
        <w:t xml:space="preserve">The line that replaces “100% reliable” in the spec: </w:t>
      </w:r>
      <w:r>
        <w:rPr>
          <w:rFonts w:ascii="Arial" w:cs="Arial" w:eastAsia="Arial" w:hAnsi="Arial"/>
          <w:b w:val="false"/>
          <w:bCs w:val="false"/>
          <w:i/>
          <w:iCs/>
        </w:rPr>
        <w:t xml:space="preserve">“Best-achievable Sybil resistance under a stated threat model, with published FMR/FNMR, graceful degradation, and live re-attestation — coercion-resistance and enrolment integrity identified as open problems.”</w:t>
      </w:r>
      <w:r>
        <w:rPr>
          <w:rFonts w:ascii="Arial" w:cs="Arial" w:eastAsia="Arial" w:hAnsi="Arial"/>
          <w:b w:val="false"/>
          <w:bCs w:val="false"/>
          <w:i w:val="false"/>
          <w:iCs w:val="false"/>
        </w:rPr>
        <w:t xml:space="preserve"> That sentence is stronger than “100%” because a cryptographer cannot immediately falsify it.</w:t>
      </w:r>
    </w:p>
    <w:p>
      <w:pPr>
        <w:pStyle w:val="Heading1"/>
        <w:spacing w:after="160" w:before="300"/>
      </w:pPr>
      <w:r>
        <w:rPr>
          <w:rFonts w:ascii="Arial" w:cs="Arial" w:eastAsia="Arial" w:hAnsi="Arial"/>
        </w:rPr>
        <w:t xml:space="preserve">9.  Token Economics</w:t>
      </w:r>
    </w:p>
    <w:p>
      <w:pPr>
        <w:pStyle w:val="Heading2"/>
        <w:spacing w:after="120" w:before="220"/>
      </w:pPr>
      <w:r>
        <w:rPr>
          <w:rFonts w:ascii="Arial" w:cs="Arial" w:eastAsia="Arial" w:hAnsi="Arial"/>
        </w:rPr>
        <w:t xml:space="preserve">9.1  Hybrid coupling: the ledger boots before personhood exists</w:t>
      </w:r>
    </w:p>
    <w:p>
      <w:pPr>
        <w:spacing w:after="140" w:before="0" w:line="276"/>
      </w:pPr>
      <w:r>
        <w:rPr>
          <w:rFonts w:ascii="Arial" w:cs="Arial" w:eastAsia="Arial" w:hAnsi="Arial"/>
          <w:b w:val="false"/>
          <w:bCs w:val="false"/>
          <w:i w:val="false"/>
          <w:iCs w:val="false"/>
        </w:rPr>
        <w:t xml:space="preserve">v1.0 bolted the entire money supply to verified-human count, so the ledger could not exist until personhood hardware did — the keystone was made of the one material not yet available. v2.0 adopts a </w:t>
      </w:r>
      <w:r>
        <w:rPr>
          <w:rFonts w:ascii="Arial" w:cs="Arial" w:eastAsia="Arial" w:hAnsi="Arial"/>
          <w:b/>
          <w:bCs/>
          <w:i w:val="false"/>
          <w:iCs w:val="false"/>
        </w:rPr>
        <w:t xml:space="preserve">hybrid</w:t>
      </w:r>
      <w:r>
        <w:rPr>
          <w:rFonts w:ascii="Arial" w:cs="Arial" w:eastAsia="Arial" w:hAnsi="Arial"/>
          <w:b w:val="false"/>
          <w:bCs w:val="false"/>
          <w:i w:val="false"/>
          <w:iCs w:val="false"/>
        </w:rPr>
        <w:t xml:space="preserve">: Layer 1 runs permissionlessly and pseudonymously from genesis with a rule-bound, transparent bootstrap issuance, and the egalitarian per-human mint plus one-person-one-voice governance </w:t>
      </w:r>
      <w:r>
        <w:rPr>
          <w:rFonts w:ascii="Arial" w:cs="Arial" w:eastAsia="Arial" w:hAnsi="Arial"/>
          <w:b/>
          <w:bCs/>
          <w:i w:val="false"/>
          <w:iCs w:val="false"/>
        </w:rPr>
        <w:t xml:space="preserve">activate once the personhood layer is live.</w:t>
      </w:r>
      <w:r>
        <w:rPr>
          <w:rFonts w:ascii="Arial" w:cs="Arial" w:eastAsia="Arial" w:hAnsi="Arial"/>
          <w:b w:val="false"/>
          <w:bCs w:val="false"/>
          <w:i w:val="false"/>
          <w:iCs w:val="false"/>
        </w:rPr>
        <w:t xml:space="preserve"> This preserves the original thesis while letting the base layer earn a Buildable readiness flag instead of being dragged to Speculative by a dependency that does not yet exist.</w:t>
      </w:r>
    </w:p>
    <w:p>
      <w:pPr>
        <w:pStyle w:val="Heading2"/>
        <w:spacing w:after="120" w:before="220"/>
      </w:pPr>
      <w:r>
        <w:rPr>
          <w:rFonts w:ascii="Arial" w:cs="Arial" w:eastAsia="Arial" w:hAnsi="Arial"/>
        </w:rPr>
        <w:t xml:space="preserve">9.2  The population-indexed base (post-personhood)</w:t>
      </w:r>
    </w:p>
    <w:p>
      <w:pPr>
        <w:spacing w:after="140" w:before="0" w:line="276"/>
      </w:pPr>
      <w:r>
        <w:rPr>
          <w:rFonts w:ascii="Arial" w:cs="Arial" w:eastAsia="Arial" w:hAnsi="Arial"/>
          <w:b w:val="false"/>
          <w:bCs w:val="false"/>
          <w:i w:val="false"/>
          <w:iCs w:val="false"/>
        </w:rPr>
        <w:t xml:space="preserve">Once personhood is live, the monetary base is a census, not a policy lever: total_supply = N × B, where N is the count of active verified identities and B = 1,000 PLC. Every verified human mints exactly B once, at registration. There is no pre-mine, founder tranche, investor allocation, or emission curve. At every scale the per-person allocation is identical, so no participant holds more by virtue of timing of entry.</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3120"/>
        <w:gridCol w:w="3120"/>
        <w:gridCol w:w="3120"/>
      </w:tblGrid>
      <w:tr>
        <w:trPr>
          <w:tblHeader/>
        </w:trPr>
        <w:tc>
          <w:tcPr>
            <w:tcW w:type="dxa" w:w="312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Verified participants (N)</w:t>
            </w:r>
          </w:p>
        </w:tc>
        <w:tc>
          <w:tcPr>
            <w:tcW w:type="dxa" w:w="312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Total supply</w:t>
            </w:r>
          </w:p>
        </w:tc>
        <w:tc>
          <w:tcPr>
            <w:tcW w:type="dxa" w:w="312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Per person</w:t>
            </w:r>
          </w:p>
        </w:tc>
      </w:tr>
      <w:tr>
        <w:trPr>
          <w:tblHeader w:val="false"/>
        </w:trPr>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100,000 (genesis target)</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100,000,000 PLC</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1,000 PLC</w:t>
            </w:r>
          </w:p>
        </w:tc>
      </w:tr>
      <w:tr>
        <w:trPr>
          <w:tblHeader w:val="false"/>
        </w:trPr>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1,000,000</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1,000,000,000 PLC</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1,000 PLC</w:t>
            </w:r>
          </w:p>
        </w:tc>
      </w:tr>
      <w:tr>
        <w:trPr>
          <w:tblHeader w:val="false"/>
        </w:trPr>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1,000,000,000 (global)</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1,000,000,000,000 PLC</w:t>
            </w:r>
          </w:p>
        </w:tc>
        <w:tc>
          <w:tcPr>
            <w:tcW w:type="dxa" w:w="312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1,000 PLC</w:t>
            </w:r>
          </w:p>
        </w:tc>
      </w:tr>
    </w:tbl>
    <w:p>
      <w:pPr>
        <w:pStyle w:val="Heading2"/>
        <w:spacing w:after="120" w:before="220"/>
      </w:pPr>
      <w:r>
        <w:rPr>
          <w:rFonts w:ascii="Arial" w:cs="Arial" w:eastAsia="Arial" w:hAnsi="Arial"/>
        </w:rPr>
        <w:t xml:space="preserve">9.3  The fairness–stability tradeoff, disclosed not defined away</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9360"/>
      </w:tblGrid>
      <w:tr>
        <w:trPr>
          <w:tblHeader w:val="false"/>
        </w:trPr>
        <w:tc>
          <w:tcPr>
            <w:tcW w:type="dxa" w:w="9360"/>
            <w:tcBorders>
              <w:top w:val="single" w:color="BFBFBF" w:sz="1"/>
              <w:left w:val="single" w:color="BFBFBF" w:sz="1"/>
              <w:bottom w:val="single" w:color="BFBFBF" w:sz="1"/>
              <w:right w:val="single" w:color="BFBFBF" w:sz="1"/>
            </w:tcBorders>
            <w:shd w:fill="FFF2CC"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rPr>
              <w:t xml:space="preserve">What v1.0 underplayed.  </w:t>
            </w:r>
            <w:r>
              <w:rPr>
                <w:rFonts w:ascii="Arial" w:cs="Arial" w:eastAsia="Arial" w:hAnsi="Arial"/>
                <w:b w:val="false"/>
                <w:bCs w:val="false"/>
                <w:i w:val="false"/>
                <w:iCs w:val="false"/>
              </w:rPr>
              <w:t xml:space="preserve">Calling supply growth “not inflation, just population growth” is a definitional move, not an economic guarantee. Anchoring the base to headcount says nothing about economic output, so the purchasing power of one PLC is undefined and probably volatile, and early accumulators still capture large purchasing-power gains while the network is small.</w:t>
            </w:r>
          </w:p>
          <w:p>
            <w:pPr>
              <w:spacing w:after="0" w:line="252"/>
            </w:pPr>
            <w:r>
              <w:rPr>
                <w:rFonts w:ascii="Arial" w:cs="Arial" w:eastAsia="Arial" w:hAnsi="Arial"/>
                <w:b/>
                <w:bCs/>
                <w:i w:val="false"/>
                <w:iCs w:val="false"/>
              </w:rPr>
              <w:t xml:space="preserve">The Standard names this exactly</w:t>
            </w:r>
            <w:r>
              <w:rPr>
                <w:rFonts w:ascii="Arial" w:cs="Arial" w:eastAsia="Arial" w:hAnsi="Arial"/>
                <w:b w:val="false"/>
                <w:bCs w:val="false"/>
                <w:i w:val="false"/>
                <w:iCs w:val="false"/>
              </w:rPr>
              <w:t xml:space="preserve"> in its own Open Problems as </w:t>
            </w:r>
            <w:r>
              <w:rPr>
                <w:rFonts w:ascii="Arial" w:cs="Arial" w:eastAsia="Arial" w:hAnsi="Arial"/>
                <w:b w:val="false"/>
                <w:bCs w:val="false"/>
                <w:i/>
                <w:iCs/>
              </w:rPr>
              <w:t xml:space="preserve">the stability tension</w:t>
            </w:r>
            <w:r>
              <w:rPr>
                <w:rFonts w:ascii="Arial" w:cs="Arial" w:eastAsia="Arial" w:hAnsi="Arial"/>
                <w:b w:val="false"/>
                <w:bCs w:val="false"/>
                <w:i w:val="false"/>
                <w:iCs w:val="false"/>
              </w:rPr>
              <w:t xml:space="preserve">: the egalitarian “one share per human” tradition explicitly trades away value stability (property A2). v2.0 takes the honest position rather than the rhetorical one: </w:t>
            </w:r>
            <w:r>
              <w:rPr>
                <w:rFonts w:ascii="Arial" w:cs="Arial" w:eastAsia="Arial" w:hAnsi="Arial"/>
                <w:b/>
                <w:bCs/>
                <w:i w:val="false"/>
                <w:iCs w:val="false"/>
              </w:rPr>
              <w:t xml:space="preserve">PLC optimises supply integrity and issuance fairness (B1, and the issuance-ethic disclosure) at the cost of value stability (A2). It is therefore a strong candidate base-layer and store-of-fairness unit and a poor stand-alone unit of account</w:t>
            </w:r>
            <w:r>
              <w:rPr>
                <w:rFonts w:ascii="Arial" w:cs="Arial" w:eastAsia="Arial" w:hAnsi="Arial"/>
                <w:b w:val="false"/>
                <w:bCs w:val="false"/>
                <w:i w:val="false"/>
                <w:iCs w:val="false"/>
              </w:rPr>
              <w:t xml:space="preserve">, and a separate pricing instrument or an explicit stabilisation layer should carry unit-of-account duty. The standard’s Archetype E (Unit of Account) is where PLC scores worst, and the document says so.</w:t>
            </w:r>
          </w:p>
        </w:tc>
      </w:tr>
    </w:tbl>
    <w:p>
      <w:pPr>
        <w:pStyle w:val="Heading2"/>
        <w:spacing w:after="120" w:before="220"/>
      </w:pPr>
      <w:r>
        <w:rPr>
          <w:rFonts w:ascii="Arial" w:cs="Arial" w:eastAsia="Arial" w:hAnsi="Arial"/>
        </w:rPr>
        <w:t xml:space="preserve">9.4  Validator rewards and exit handling</w:t>
      </w:r>
    </w:p>
    <w:p>
      <w:pPr>
        <w:spacing w:after="140" w:before="0" w:line="276"/>
      </w:pPr>
      <w:r>
        <w:rPr>
          <w:rFonts w:ascii="Arial" w:cs="Arial" w:eastAsia="Arial" w:hAnsi="Arial"/>
          <w:b w:val="false"/>
          <w:bCs w:val="false"/>
          <w:i w:val="false"/>
          <w:iCs w:val="false"/>
        </w:rPr>
        <w:t xml:space="preserve">Validators are funded by the network’s own metabolism, not a pre-mint: a small registration fee (~0.1% of B) into the reward pool, EIP-1559 priority tips, and a commons pool fed by inactivity decay. An identity that fails liveness re-attestation for 36 months has its base allocation transfer to the commons pool at 1%/month — a trustless substitute for a death oracle. The known cost, disclosed: anyone offline involuntarily for years slowly bleeds funds, so the inactivity window and decay rate are governable parameters, not fixed dogma.</w:t>
      </w:r>
    </w:p>
    <w:p>
      <w:pPr>
        <w:pStyle w:val="Heading1"/>
        <w:spacing w:after="160" w:before="300"/>
      </w:pPr>
      <w:r>
        <w:rPr>
          <w:rFonts w:ascii="Arial" w:cs="Arial" w:eastAsia="Arial" w:hAnsi="Arial"/>
        </w:rPr>
        <w:t xml:space="preserve">10.  On-Chain Governance</w:t>
      </w:r>
    </w:p>
    <w:p>
      <w:pPr>
        <w:spacing w:after="140" w:before="0" w:line="276"/>
      </w:pPr>
      <w:r>
        <w:rPr>
          <w:rFonts w:ascii="Arial" w:cs="Arial" w:eastAsia="Arial" w:hAnsi="Arial"/>
          <w:b w:val="false"/>
          <w:bCs w:val="false"/>
          <w:i w:val="false"/>
          <w:iCs w:val="false"/>
        </w:rPr>
        <w:t xml:space="preserve">Every tunable parameter lives in a Governance State Trie and updates automatically when voting conditions are met — no foundation multisig, no benevolent dictator. Vote weight is quadratic in stake, multiplied by an identity factor: doubling holdings raises weight by ~41%, not 100%, blunting plutocratic capture; the identity multiplier (1.0 unverified, 1.5 web-of-trust, 2.0 full biometric) rewards Sybil-resistant participation without making identity mandatory for economic use. Capture surfaces are disclosed in Section 11, not hidden: residual plutocracy before personhood is live, and potential sclerosis from the high amendment thresholds.</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3400"/>
        <w:gridCol w:w="1900"/>
        <w:gridCol w:w="1700"/>
        <w:gridCol w:w="2360"/>
      </w:tblGrid>
      <w:tr>
        <w:trPr>
          <w:tblHeader/>
        </w:trPr>
        <w:tc>
          <w:tcPr>
            <w:tcW w:type="dxa" w:w="34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Proposal type</w:t>
            </w:r>
          </w:p>
        </w:tc>
        <w:tc>
          <w:tcPr>
            <w:tcW w:type="dxa" w:w="19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Majority</w:t>
            </w:r>
          </w:p>
        </w:tc>
        <w:tc>
          <w:tcPr>
            <w:tcW w:type="dxa" w:w="17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Notice</w:t>
            </w:r>
          </w:p>
        </w:tc>
        <w:tc>
          <w:tcPr>
            <w:tcW w:type="dxa" w:w="236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Notes</w:t>
            </w:r>
          </w:p>
        </w:tc>
      </w:tr>
      <w:tr>
        <w:trPr>
          <w:tblHeader w:val="false"/>
        </w:trPr>
        <w:tc>
          <w:tcPr>
            <w:tcW w:type="dxa" w:w="3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Parameter update</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51% quad.</w:t>
            </w:r>
          </w:p>
        </w:tc>
        <w:tc>
          <w:tcPr>
            <w:tcW w:type="dxa" w:w="1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10 epochs</w:t>
            </w:r>
          </w:p>
        </w:tc>
        <w:tc>
          <w:tcPr>
            <w:tcW w:type="dxa" w:w="23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Fees, epoch length, validator count</w:t>
            </w:r>
          </w:p>
        </w:tc>
      </w:tr>
      <w:tr>
        <w:trPr>
          <w:tblHeader w:val="false"/>
        </w:trPr>
        <w:tc>
          <w:tcPr>
            <w:tcW w:type="dxa" w:w="3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Protocol upgrade</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66.7% quad.</w:t>
            </w:r>
          </w:p>
        </w:tc>
        <w:tc>
          <w:tcPr>
            <w:tcW w:type="dxa" w:w="1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30 days</w:t>
            </w:r>
          </w:p>
        </w:tc>
        <w:tc>
          <w:tcPr>
            <w:tcW w:type="dxa" w:w="23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Breaking consensus/execution changes</w:t>
            </w:r>
          </w:p>
        </w:tc>
      </w:tr>
      <w:tr>
        <w:trPr>
          <w:tblHeader w:val="false"/>
        </w:trPr>
        <w:tc>
          <w:tcPr>
            <w:tcW w:type="dxa" w:w="3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Emergency patch</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75% quad.</w:t>
            </w:r>
          </w:p>
        </w:tc>
        <w:tc>
          <w:tcPr>
            <w:tcW w:type="dxa" w:w="1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48 hours</w:t>
            </w:r>
          </w:p>
        </w:tc>
        <w:tc>
          <w:tcPr>
            <w:tcW w:type="dxa" w:w="23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Requires independent auditor co-signature</w:t>
            </w:r>
          </w:p>
        </w:tc>
      </w:tr>
      <w:tr>
        <w:trPr>
          <w:tblHeader w:val="false"/>
        </w:trPr>
        <w:tc>
          <w:tcPr>
            <w:tcW w:type="dxa" w:w="34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Constitutional amendment</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80% quad.</w:t>
            </w:r>
          </w:p>
        </w:tc>
        <w:tc>
          <w:tcPr>
            <w:tcW w:type="dxa" w:w="1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180 days</w:t>
            </w:r>
          </w:p>
        </w:tc>
        <w:tc>
          <w:tcPr>
            <w:tcW w:type="dxa" w:w="23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Changes to B, the supply formula, or the signature baseline</w:t>
            </w:r>
          </w:p>
        </w:tc>
      </w:tr>
    </w:tbl>
    <w:p>
      <w:r>
        <w:br w:type="page"/>
      </w:r>
    </w:p>
    <w:p>
      <w:pPr>
        <w:pStyle w:val="Heading1"/>
        <w:spacing w:after="160" w:before="300"/>
      </w:pPr>
      <w:r>
        <w:rPr>
          <w:rFonts w:ascii="Arial" w:cs="Arial" w:eastAsia="Arial" w:hAnsi="Arial"/>
        </w:rPr>
        <w:t xml:space="preserve">11.  Self-Assessment Against the ProtoLedger Money Standard v3.0</w:t>
      </w:r>
    </w:p>
    <w:p>
      <w:pPr>
        <w:spacing w:after="140" w:before="0" w:line="276"/>
      </w:pPr>
      <w:r>
        <w:rPr>
          <w:rFonts w:ascii="Arial" w:cs="Arial" w:eastAsia="Arial" w:hAnsi="Arial"/>
          <w:b w:val="false"/>
          <w:bCs w:val="false"/>
          <w:i w:val="false"/>
          <w:iCs w:val="false"/>
        </w:rPr>
        <w:t xml:space="preserve">This section replaces v1.0’s 100/100 scorecard. It applies the Standard honestly: outcomes scored 0–10, a readiness flag on every line, contested values disclosed not scored, and — critically — </w:t>
      </w:r>
      <w:r>
        <w:rPr>
          <w:rFonts w:ascii="Arial" w:cs="Arial" w:eastAsia="Arial" w:hAnsi="Arial"/>
          <w:b/>
          <w:bCs/>
          <w:i w:val="false"/>
          <w:iCs w:val="false"/>
        </w:rPr>
        <w:t xml:space="preserve">the gates applied. </w:t>
      </w:r>
      <w:r>
        <w:rPr>
          <w:rFonts w:ascii="Arial" w:cs="Arial" w:eastAsia="Arial" w:hAnsi="Arial"/>
          <w:b w:val="false"/>
          <w:bCs w:val="false"/>
          <w:i w:val="false"/>
          <w:iCs w:val="false"/>
        </w:rPr>
        <w:t xml:space="preserve">Because no network runs, A1 Acceptability is absent, which caps the verdict at a labelled ceiling. The scores below are judgement-based illustrations under a </w:t>
      </w:r>
      <w:r>
        <w:rPr>
          <w:rFonts w:ascii="Arial" w:cs="Arial" w:eastAsia="Arial" w:hAnsi="Arial"/>
          <w:b w:val="false"/>
          <w:bCs w:val="false"/>
          <w:i/>
          <w:iCs/>
        </w:rPr>
        <w:t xml:space="preserve">ceiling</w:t>
      </w:r>
      <w:r>
        <w:rPr>
          <w:rFonts w:ascii="Arial" w:cs="Arial" w:eastAsia="Arial" w:hAnsi="Arial"/>
          <w:b w:val="false"/>
          <w:bCs w:val="false"/>
          <w:i w:val="false"/>
          <w:iCs w:val="false"/>
        </w:rPr>
        <w:t xml:space="preserve"> (best-buildable) reading, not measurements; the Standard’s evidence rubrics for soft properties are themselves still being built.</w:t>
      </w:r>
    </w:p>
    <w:p>
      <w:pPr>
        <w:spacing w:after="140" w:before="0" w:line="276"/>
      </w:pPr>
      <w:r>
        <w:rPr>
          <w:rFonts w:ascii="Arial" w:cs="Arial" w:eastAsia="Arial" w:hAnsi="Arial"/>
          <w:b/>
          <w:bCs/>
          <w:i w:val="false"/>
          <w:iCs w:val="false"/>
        </w:rPr>
        <w:t xml:space="preserve">Declared archetype: </w:t>
      </w:r>
      <w:r>
        <w:rPr>
          <w:rFonts w:ascii="Arial" w:cs="Arial" w:eastAsia="Arial" w:hAnsi="Arial"/>
          <w:b w:val="false"/>
          <w:bCs w:val="false"/>
          <w:i w:val="false"/>
          <w:iCs w:val="false"/>
        </w:rPr>
        <w:t xml:space="preserve">D (Programmable Collateral / Base Layer) for the system; the money is read against B (Store of Value), and is explicitly weak against E (Unit of Account).  </w:t>
      </w:r>
      <w:r>
        <w:rPr>
          <w:rFonts w:ascii="Arial" w:cs="Arial" w:eastAsia="Arial" w:hAnsi="Arial"/>
          <w:b/>
          <w:bCs/>
          <w:i w:val="false"/>
          <w:iCs w:val="false"/>
        </w:rPr>
        <w:t xml:space="preserve">Readiness target: </w:t>
      </w:r>
      <w:r>
        <w:rPr>
          <w:rFonts w:ascii="Arial" w:cs="Arial" w:eastAsia="Arial" w:hAnsi="Arial"/>
          <w:b w:val="false"/>
          <w:bCs w:val="false"/>
          <w:i w:val="false"/>
          <w:iCs w:val="false"/>
        </w:rPr>
        <w:t xml:space="preserve">ceiling, not “ready today.”</w:t>
      </w:r>
    </w:p>
    <w:p>
      <w:pPr>
        <w:pStyle w:val="Heading2"/>
        <w:spacing w:after="120" w:before="220"/>
      </w:pPr>
      <w:r>
        <w:rPr>
          <w:rFonts w:ascii="Arial" w:cs="Arial" w:eastAsia="Arial" w:hAnsi="Arial"/>
        </w:rPr>
        <w:t xml:space="preserve">Layer A — Monetary Fitness  (scored on outcome)</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700"/>
        <w:gridCol w:w="3060"/>
        <w:gridCol w:w="900"/>
        <w:gridCol w:w="1900"/>
        <w:gridCol w:w="2800"/>
      </w:tblGrid>
      <w:tr>
        <w:trPr>
          <w:tblHeader/>
        </w:trPr>
        <w:tc>
          <w:tcPr>
            <w:tcW w:type="dxa" w:w="7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w:t>
            </w:r>
          </w:p>
        </w:tc>
        <w:tc>
          <w:tcPr>
            <w:tcW w:type="dxa" w:w="306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Property</w:t>
            </w:r>
          </w:p>
        </w:tc>
        <w:tc>
          <w:tcPr>
            <w:tcW w:type="dxa" w:w="9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Score</w:t>
            </w:r>
          </w:p>
        </w:tc>
        <w:tc>
          <w:tcPr>
            <w:tcW w:type="dxa" w:w="19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Readiness</w:t>
            </w:r>
          </w:p>
        </w:tc>
        <w:tc>
          <w:tcPr>
            <w:tcW w:type="dxa" w:w="28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Note</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A1</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Acceptability &amp; Liquidity</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0</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Absent</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No network, no counterparties. Fails the A1 ≥ 7 gate → no “ready today” verdict possible.</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A2</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Value Stability</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2</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Speculative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Population-indexed base says nothing about purchasing power; fairness is traded for stability by design.</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A3</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Usability &amp; Safety</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5</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Layered keys and recovery are designed, but biometric onboarding friction and lockout risk are real.</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A4</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Portability &amp; Divisibility</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8</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nanoPLC divisibility, sub-second finality, optional channel mesh.</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A5</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Fungibility</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9</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Privacy-by-default means no unit carries degrading history. A genuine strength.</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A6</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Recognizability</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7</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STARK-verified, light-client checkable.</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A7</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Cost Efficiency</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6</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Low fees by design; unproven at scale and resource budget unpublished.</w:t>
            </w:r>
          </w:p>
        </w:tc>
      </w:tr>
    </w:tbl>
    <w:p>
      <w:pPr>
        <w:spacing w:after="140" w:before="0" w:line="276"/>
      </w:pPr>
      <w:r>
        <w:rPr>
          <w:rFonts w:ascii="Arial" w:cs="Arial" w:eastAsia="Arial" w:hAnsi="Arial"/>
          <w:b/>
          <w:bCs/>
          <w:i w:val="false"/>
          <w:iCs w:val="false"/>
        </w:rPr>
        <w:t xml:space="preserve">Layer A mean (illustrative): </w:t>
      </w:r>
      <w:r>
        <w:rPr>
          <w:rFonts w:ascii="Arial" w:cs="Arial" w:eastAsia="Arial" w:hAnsi="Arial"/>
          <w:b w:val="false"/>
          <w:bCs w:val="false"/>
          <w:i w:val="false"/>
          <w:iCs w:val="false"/>
        </w:rPr>
        <w:t xml:space="preserve">~5.3 / 10 — but the A1 gate fails, so any “money in use” verdict is capped regardless of the mean.</w:t>
      </w:r>
    </w:p>
    <w:p>
      <w:pPr>
        <w:pStyle w:val="Heading2"/>
        <w:spacing w:after="120" w:before="220"/>
      </w:pPr>
      <w:r>
        <w:rPr>
          <w:rFonts w:ascii="Arial" w:cs="Arial" w:eastAsia="Arial" w:hAnsi="Arial"/>
        </w:rPr>
        <w:t xml:space="preserve">Layer B — System Soundness  (scored on outcome)</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700"/>
        <w:gridCol w:w="3060"/>
        <w:gridCol w:w="900"/>
        <w:gridCol w:w="1900"/>
        <w:gridCol w:w="2800"/>
      </w:tblGrid>
      <w:tr>
        <w:trPr>
          <w:tblHeader/>
        </w:trPr>
        <w:tc>
          <w:tcPr>
            <w:tcW w:type="dxa" w:w="7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w:t>
            </w:r>
          </w:p>
        </w:tc>
        <w:tc>
          <w:tcPr>
            <w:tcW w:type="dxa" w:w="306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Property</w:t>
            </w:r>
          </w:p>
        </w:tc>
        <w:tc>
          <w:tcPr>
            <w:tcW w:type="dxa" w:w="9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Score</w:t>
            </w:r>
          </w:p>
        </w:tc>
        <w:tc>
          <w:tcPr>
            <w:tcW w:type="dxa" w:w="19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Readiness</w:t>
            </w:r>
          </w:p>
        </w:tc>
        <w:tc>
          <w:tcPr>
            <w:tcW w:type="dxa" w:w="28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Note</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B1</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Supply Integrity</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7</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N × B rule is transparent and hard to change; the active-human count it depends on is Speculative until personhood is live.</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B2</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Settlement Assurance</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8</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Deterministic BFT finality; no reorg under f &lt; n/3.</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B3</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Resilience &amp; Liveness</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7</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DAG-BFT liveness under partial synchrony; validator decentralisation unproven in practice.</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B4</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No Single Point of Control</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6</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Consensus is stake-based; the enrolment-operator and registry honeypot risk on the identity side pulls this down.</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B5</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Rule Auditability</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8</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Open spec, STARK proofs, light-client verifiable. Full Lean 4 execution-layer verification is Speculative.</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B6</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Forward Security Margin</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8</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PQC from genesis with algorithm agility — the corrected, stronger version of v1.0’s claim.</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B7</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No Invisible Rent</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8</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Content–metadata separation eliminates MEV structurally.</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B8</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Capture-Resistant Rule-Change</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6</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Speculative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Quadratic + identity-weighted voting; true 1p1v depends on personhood. Pre-personhood it leans plutocratic.</w:t>
            </w:r>
          </w:p>
        </w:tc>
      </w:tr>
      <w:tr>
        <w:trPr>
          <w:tblHeader w:val="false"/>
        </w:trPr>
        <w:tc>
          <w:tcPr>
            <w:tcW w:type="dxa" w:w="7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B9</w:t>
            </w:r>
          </w:p>
        </w:tc>
        <w:tc>
          <w:tcPr>
            <w:tcW w:type="dxa" w:w="30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Resource Proportionality</w:t>
            </w:r>
          </w:p>
        </w:tc>
        <w:tc>
          <w:tcPr>
            <w:tcW w:type="dxa" w:w="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7</w:t>
            </w:r>
          </w:p>
        </w:tc>
        <w:tc>
          <w:tcPr>
            <w:tcW w:type="dxa" w:w="19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Buildable</w:t>
            </w:r>
          </w:p>
        </w:tc>
        <w:tc>
          <w:tcPr>
            <w:tcW w:type="dxa" w:w="28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PoS-class energy; but state-growth and bandwidth are unbounded as written — see §6 budget gap.</w:t>
            </w:r>
          </w:p>
        </w:tc>
      </w:tr>
    </w:tbl>
    <w:p>
      <w:pPr>
        <w:spacing w:after="140" w:before="0" w:line="276"/>
      </w:pPr>
      <w:r>
        <w:rPr>
          <w:rFonts w:ascii="Arial" w:cs="Arial" w:eastAsia="Arial" w:hAnsi="Arial"/>
          <w:b/>
          <w:bCs/>
          <w:i w:val="false"/>
          <w:iCs w:val="false"/>
        </w:rPr>
        <w:t xml:space="preserve">Layer B mean (illustrative): </w:t>
      </w:r>
      <w:r>
        <w:rPr>
          <w:rFonts w:ascii="Arial" w:cs="Arial" w:eastAsia="Arial" w:hAnsi="Arial"/>
          <w:b w:val="false"/>
          <w:bCs w:val="false"/>
          <w:i w:val="false"/>
          <w:iCs w:val="false"/>
        </w:rPr>
        <w:t xml:space="preserve">~7.2 / 10. B1 ≥ 7 and B2 ≥ 7 are met on a buildable reading, so a </w:t>
      </w:r>
      <w:r>
        <w:rPr>
          <w:rFonts w:ascii="Arial" w:cs="Arial" w:eastAsia="Arial" w:hAnsi="Arial"/>
          <w:b w:val="false"/>
          <w:bCs w:val="false"/>
          <w:i/>
          <w:iCs/>
        </w:rPr>
        <w:t xml:space="preserve">ceiling</w:t>
      </w:r>
      <w:r>
        <w:rPr>
          <w:rFonts w:ascii="Arial" w:cs="Arial" w:eastAsia="Arial" w:hAnsi="Arial"/>
          <w:b w:val="false"/>
          <w:bCs w:val="false"/>
          <w:i w:val="false"/>
          <w:iCs w:val="false"/>
        </w:rPr>
        <w:t xml:space="preserve"> “sound system” verdict is available — but not a “ready today” one, since nothing is flagged Achieved.</w:t>
      </w:r>
    </w:p>
    <w:p>
      <w:pPr>
        <w:pStyle w:val="Heading2"/>
        <w:spacing w:after="120" w:before="220"/>
      </w:pPr>
      <w:r>
        <w:rPr>
          <w:rFonts w:ascii="Arial" w:cs="Arial" w:eastAsia="Arial" w:hAnsi="Arial"/>
        </w:rPr>
        <w:t xml:space="preserve">Layer C — Disclosed, not scored</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2600"/>
        <w:gridCol w:w="6760"/>
      </w:tblGrid>
      <w:tr>
        <w:trPr>
          <w:tblHeader/>
        </w:trPr>
        <w:tc>
          <w:tcPr>
            <w:tcW w:type="dxa" w:w="260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Axis</w:t>
            </w:r>
          </w:p>
        </w:tc>
        <w:tc>
          <w:tcPr>
            <w:tcW w:type="dxa" w:w="6760"/>
            <w:tcBorders>
              <w:top w:val="single" w:color="BFBFBF" w:sz="1"/>
              <w:left w:val="single" w:color="BFBFBF" w:sz="1"/>
              <w:bottom w:val="single" w:color="BFBFBF" w:sz="1"/>
              <w:right w:val="single" w:color="BFBFBF" w:sz="1"/>
            </w:tcBorders>
            <w:shd w:fill="1F3864"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FFFFFF"/>
              </w:rPr>
              <w:t xml:space="preserve">PLC position (disclosed)</w:t>
            </w:r>
          </w:p>
        </w:tc>
      </w:tr>
      <w:tr>
        <w:trPr>
          <w:tblHeader w:val="false"/>
        </w:trPr>
        <w:tc>
          <w:tcPr>
            <w:tcW w:type="dxa" w:w="26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Privacy posture</w:t>
            </w:r>
          </w:p>
        </w:tc>
        <w:tc>
          <w:tcPr>
            <w:tcW w:type="dxa" w:w="67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Privacy-by-default with voluntary selective disclosure — high on the privacy axis, short of total untraceability.</w:t>
            </w:r>
          </w:p>
        </w:tc>
      </w:tr>
      <w:tr>
        <w:trPr>
          <w:tblHeader w:val="false"/>
        </w:trPr>
        <w:tc>
          <w:tcPr>
            <w:tcW w:type="dxa" w:w="26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Identity / personhood</w:t>
            </w:r>
          </w:p>
        </w:tc>
        <w:tc>
          <w:tcPr>
            <w:tcW w:type="dxa" w:w="67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Verified unique human (iris + vein). </w:t>
            </w:r>
            <w:r>
              <w:rPr>
                <w:rFonts w:ascii="Arial" w:cs="Arial" w:eastAsia="Arial" w:hAnsi="Arial"/>
                <w:b/>
                <w:bCs/>
                <w:i w:val="false"/>
                <w:iCs w:val="false"/>
              </w:rPr>
              <w:t xml:space="preserve">Dual-use, flagged: a freedom tool and a powerful instrument of control at once.</w:t>
            </w:r>
          </w:p>
        </w:tc>
      </w:tr>
      <w:tr>
        <w:trPr>
          <w:tblHeader w:val="false"/>
        </w:trPr>
        <w:tc>
          <w:tcPr>
            <w:tcW w:type="dxa" w:w="26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Issuance ethic</w:t>
            </w:r>
          </w:p>
        </w:tc>
        <w:tc>
          <w:tcPr>
            <w:tcW w:type="dxa" w:w="67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Egalitarian mint (post-personhood); rule-bound elastic bootstrap (pre-personhood). No pre-allocation.</w:t>
            </w:r>
          </w:p>
        </w:tc>
      </w:tr>
      <w:tr>
        <w:trPr>
          <w:tblHeader w:val="false"/>
        </w:trPr>
        <w:tc>
          <w:tcPr>
            <w:tcW w:type="dxa" w:w="26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Consensus / cost</w:t>
            </w:r>
          </w:p>
        </w:tc>
        <w:tc>
          <w:tcPr>
            <w:tcW w:type="dxa" w:w="67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BFT (DAG-BFT), PoS-class energy with Proof-of-Useful-Stake weighting.</w:t>
            </w:r>
          </w:p>
        </w:tc>
      </w:tr>
      <w:tr>
        <w:trPr>
          <w:tblHeader w:val="false"/>
        </w:trPr>
        <w:tc>
          <w:tcPr>
            <w:tcW w:type="dxa" w:w="26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Governance model</w:t>
            </w:r>
          </w:p>
        </w:tc>
        <w:tc>
          <w:tcPr>
            <w:tcW w:type="dxa" w:w="67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On-chain vote. Named capture surfaces: residual plutocracy pre-personhood; potential sclerosis from high thresholds.</w:t>
            </w:r>
          </w:p>
        </w:tc>
      </w:tr>
      <w:tr>
        <w:trPr>
          <w:tblHeader w:val="false"/>
        </w:trPr>
        <w:tc>
          <w:tcPr>
            <w:tcW w:type="dxa" w:w="260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Autonomy ⇄ Accountability</w:t>
            </w:r>
          </w:p>
        </w:tc>
        <w:tc>
          <w:tcPr>
            <w:tcW w:type="dxa" w:w="6760"/>
            <w:tcBorders>
              <w:top w:val="single" w:color="BFBFBF" w:sz="1"/>
              <w:left w:val="single" w:color="BFBFBF" w:sz="1"/>
              <w:bottom w:val="single" w:color="BFBFBF" w:sz="1"/>
              <w:right w:val="single" w:color="BFBFBF" w:sz="1"/>
            </w:tcBorders>
            <w:tcMar>
              <w:top w:type="dxa" w:w="70"/>
              <w:left w:type="dxa" w:w="120"/>
              <w:bottom w:type="dxa" w:w="70"/>
              <w:right w:type="dxa" w:w="120"/>
            </w:tcMar>
            <w:vAlign w:val="center"/>
          </w:tcPr>
          <w:p>
            <w:pPr>
              <w:spacing w:after="0" w:line="252"/>
            </w:pPr>
            <w:r>
              <w:rPr>
                <w:rFonts w:ascii="Arial" w:cs="Arial" w:eastAsia="Arial" w:hAnsi="Arial"/>
                <w:b w:val="false"/>
                <w:bCs w:val="false"/>
                <w:i w:val="false"/>
                <w:iCs w:val="false"/>
              </w:rPr>
              <w:t xml:space="preserve">High autonomy (no backdoor) with opt-in accountability tools (viewing keys, compliance proofs).</w:t>
            </w:r>
          </w:p>
        </w:tc>
      </w:tr>
    </w:tbl>
    <w:p>
      <w:pPr>
        <w:pStyle w:val="Heading2"/>
        <w:spacing w:after="120" w:before="220"/>
      </w:pPr>
      <w:r>
        <w:rPr>
          <w:rFonts w:ascii="Arial" w:cs="Arial" w:eastAsia="Arial" w:hAnsi="Arial"/>
        </w:rPr>
        <w:t xml:space="preserve">Verdict</w:t>
      </w:r>
    </w:p>
    <w:tbl>
      <w:tblPr>
        <w:tblW w:type="dxa" w:w="9360"/>
        <w:tblBorders>
          <w:top w:val="single" w:color="BFBFBF" w:sz="1"/>
          <w:left w:val="single" w:color="BFBFBF" w:sz="1"/>
          <w:bottom w:val="single" w:color="BFBFBF" w:sz="1"/>
          <w:right w:val="single" w:color="BFBFBF" w:sz="1"/>
          <w:insideH w:val="single" w:color="BFBFBF" w:sz="1"/>
          <w:insideV w:val="single" w:color="BFBFBF" w:sz="1"/>
        </w:tblBorders>
      </w:tblPr>
      <w:tblGrid>
        <w:gridCol w:w="9360"/>
      </w:tblGrid>
      <w:tr>
        <w:trPr>
          <w:tblHeader w:val="false"/>
        </w:trPr>
        <w:tc>
          <w:tcPr>
            <w:tcW w:type="dxa" w:w="9360"/>
            <w:tcBorders>
              <w:top w:val="single" w:color="BFBFBF" w:sz="1"/>
              <w:left w:val="single" w:color="BFBFBF" w:sz="1"/>
              <w:bottom w:val="single" w:color="BFBFBF" w:sz="1"/>
              <w:right w:val="single" w:color="BFBFBF" w:sz="1"/>
            </w:tcBorders>
            <w:shd w:fill="EAF1F8" w:color="auto" w:val="clear"/>
            <w:tcMar>
              <w:top w:type="dxa" w:w="70"/>
              <w:left w:type="dxa" w:w="120"/>
              <w:bottom w:type="dxa" w:w="70"/>
              <w:right w:type="dxa" w:w="120"/>
            </w:tcMar>
            <w:vAlign w:val="center"/>
          </w:tcPr>
          <w:p>
            <w:pPr>
              <w:spacing w:after="0" w:line="252"/>
            </w:pPr>
            <w:r>
              <w:rPr>
                <w:rFonts w:ascii="Arial" w:cs="Arial" w:eastAsia="Arial" w:hAnsi="Arial"/>
                <w:b/>
                <w:bCs/>
                <w:i w:val="false"/>
                <w:iCs w:val="false"/>
                <w:color w:val="1F3864"/>
              </w:rPr>
              <w:t xml:space="preserve">M ~5.3 / 10   ·   S ~7.2 / 10</w:t>
            </w:r>
          </w:p>
          <w:p>
            <w:pPr>
              <w:spacing w:after="0" w:line="252"/>
            </w:pPr>
            <w:r>
              <w:rPr>
                <w:rFonts w:ascii="Arial" w:cs="Arial" w:eastAsia="Arial" w:hAnsi="Arial"/>
                <w:b/>
                <w:bCs/>
                <w:i w:val="false"/>
                <w:iCs w:val="false"/>
              </w:rPr>
              <w:t xml:space="preserve">Readiness mix: </w:t>
            </w:r>
            <w:r>
              <w:rPr>
                <w:rFonts w:ascii="Arial" w:cs="Arial" w:eastAsia="Arial" w:hAnsi="Arial"/>
                <w:b w:val="false"/>
                <w:bCs w:val="false"/>
                <w:i w:val="false"/>
                <w:iCs w:val="false"/>
              </w:rPr>
              <w:t xml:space="preserve">0% Achieved  ·  ~80% Buildable  ·  ~20% Speculative.</w:t>
            </w:r>
          </w:p>
          <w:p>
            <w:pPr>
              <w:spacing w:after="0" w:line="252"/>
            </w:pPr>
            <w:r>
              <w:rPr>
                <w:rFonts w:ascii="Arial" w:cs="Arial" w:eastAsia="Arial" w:hAnsi="Arial"/>
                <w:b/>
                <w:bCs/>
                <w:i w:val="false"/>
                <w:iCs w:val="false"/>
              </w:rPr>
              <w:t xml:space="preserve">Gate check: </w:t>
            </w:r>
            <w:r>
              <w:rPr>
                <w:rFonts w:ascii="Arial" w:cs="Arial" w:eastAsia="Arial" w:hAnsi="Arial"/>
                <w:b w:val="false"/>
                <w:bCs w:val="false"/>
                <w:i w:val="false"/>
                <w:iCs w:val="false"/>
              </w:rPr>
              <w:t xml:space="preserve">CAPPED. A1 (Acceptability) = 0 fails the ≥ 7 gate → no “money in use / ready today” verdict. B1 ≥ 7 and B2 ≥ 7 are met on a buildable reading, so a </w:t>
            </w:r>
            <w:r>
              <w:rPr>
                <w:rFonts w:ascii="Arial" w:cs="Arial" w:eastAsia="Arial" w:hAnsi="Arial"/>
                <w:b/>
                <w:bCs/>
                <w:i w:val="false"/>
                <w:iCs w:val="false"/>
              </w:rPr>
              <w:t xml:space="preserve">labelled ceiling “sound system” read is permitted — and labelled as such.</w:t>
            </w:r>
          </w:p>
          <w:p>
            <w:pPr>
              <w:spacing w:after="0" w:line="252"/>
            </w:pPr>
            <w:r>
              <w:rPr>
                <w:rFonts w:ascii="Arial" w:cs="Arial" w:eastAsia="Arial" w:hAnsi="Arial"/>
                <w:b w:val="false"/>
                <w:bCs w:val="false"/>
                <w:i/>
                <w:iCs/>
              </w:rPr>
              <w:t xml:space="preserve">In plain terms: as a blueprint, PLC’s system soundness is strong and largely buildable; its monetary fitness is gated by the fact that it does not yet exist and, by design, trades stability for fairness. The two numbers are reported as a pair and never summed. The project does not grade its own exam against running chains; third parties are invited to score PLC by the same public methodology.</w:t>
            </w:r>
          </w:p>
        </w:tc>
      </w:tr>
    </w:tbl>
    <w:p>
      <w:pPr>
        <w:pStyle w:val="Heading1"/>
        <w:spacing w:after="160" w:before="300"/>
      </w:pPr>
      <w:r>
        <w:rPr>
          <w:rFonts w:ascii="Arial" w:cs="Arial" w:eastAsia="Arial" w:hAnsi="Arial"/>
        </w:rPr>
        <w:t xml:space="preserve">12.  Open Problems</w:t>
      </w:r>
    </w:p>
    <w:p>
      <w:pPr>
        <w:pStyle w:val="ListParagraph"/>
        <w:numPr>
          <w:ilvl w:val="0"/>
          <w:numId w:val="2"/>
        </w:numPr>
        <w:spacing w:after="100" w:line="276"/>
      </w:pPr>
      <w:r>
        <w:rPr>
          <w:rFonts w:ascii="Arial" w:cs="Arial" w:eastAsia="Arial" w:hAnsi="Arial"/>
          <w:b/>
          <w:bCs/>
          <w:i w:val="false"/>
          <w:iCs w:val="false"/>
        </w:rPr>
        <w:t xml:space="preserve">Resource budget. </w:t>
      </w:r>
      <w:r>
        <w:rPr>
          <w:rFonts w:ascii="Arial" w:cs="Arial" w:eastAsia="Arial" w:hAnsi="Arial"/>
          <w:b w:val="false"/>
          <w:bCs w:val="false"/>
          <w:i w:val="false"/>
          <w:iCs w:val="false"/>
        </w:rPr>
        <w:t xml:space="preserve">Publish per-validator bandwidth and storage at target throughput, and a state-expiry / statelessness plan, before quoting any TPS figure as more than a ceiling.</w:t>
      </w:r>
    </w:p>
    <w:p>
      <w:pPr>
        <w:pStyle w:val="ListParagraph"/>
        <w:numPr>
          <w:ilvl w:val="0"/>
          <w:numId w:val="2"/>
        </w:numPr>
        <w:spacing w:after="100" w:line="276"/>
      </w:pPr>
      <w:r>
        <w:rPr>
          <w:rFonts w:ascii="Arial" w:cs="Arial" w:eastAsia="Arial" w:hAnsi="Arial"/>
          <w:b/>
          <w:bCs/>
          <w:i w:val="false"/>
          <w:iCs w:val="false"/>
        </w:rPr>
        <w:t xml:space="preserve">Monetary unit-of-account. </w:t>
      </w:r>
      <w:r>
        <w:rPr>
          <w:rFonts w:ascii="Arial" w:cs="Arial" w:eastAsia="Arial" w:hAnsi="Arial"/>
          <w:b w:val="false"/>
          <w:bCs w:val="false"/>
          <w:i w:val="false"/>
          <w:iCs w:val="false"/>
        </w:rPr>
        <w:t xml:space="preserve">Specify the pricing instrument or stabilisation layer that carries unit-of-account duty, since PLC itself is a poor measuring-stick by design.</w:t>
      </w:r>
    </w:p>
    <w:p>
      <w:pPr>
        <w:pStyle w:val="ListParagraph"/>
        <w:numPr>
          <w:ilvl w:val="0"/>
          <w:numId w:val="2"/>
        </w:numPr>
        <w:spacing w:after="100" w:line="276"/>
      </w:pPr>
      <w:r>
        <w:rPr>
          <w:rFonts w:ascii="Arial" w:cs="Arial" w:eastAsia="Arial" w:hAnsi="Arial"/>
          <w:b/>
          <w:bCs/>
          <w:i w:val="false"/>
          <w:iCs w:val="false"/>
        </w:rPr>
        <w:t xml:space="preserve">Enrolment integrity. </w:t>
      </w:r>
      <w:r>
        <w:rPr>
          <w:rFonts w:ascii="Arial" w:cs="Arial" w:eastAsia="Arial" w:hAnsi="Arial"/>
          <w:b w:val="false"/>
          <w:bCs w:val="false"/>
          <w:i w:val="false"/>
          <w:iCs w:val="false"/>
        </w:rPr>
        <w:t xml:space="preserve">Decentralised, adversarial, multi-operator enrolment with a dispute window — the root of trust the biometric cannot itself establish.</w:t>
      </w:r>
    </w:p>
    <w:p>
      <w:pPr>
        <w:pStyle w:val="ListParagraph"/>
        <w:numPr>
          <w:ilvl w:val="0"/>
          <w:numId w:val="2"/>
        </w:numPr>
        <w:spacing w:after="100" w:line="276"/>
      </w:pPr>
      <w:r>
        <w:rPr>
          <w:rFonts w:ascii="Arial" w:cs="Arial" w:eastAsia="Arial" w:hAnsi="Arial"/>
          <w:b/>
          <w:bCs/>
          <w:i w:val="false"/>
          <w:iCs w:val="false"/>
        </w:rPr>
        <w:t xml:space="preserve">Coercion and credential rental. </w:t>
      </w:r>
      <w:r>
        <w:rPr>
          <w:rFonts w:ascii="Arial" w:cs="Arial" w:eastAsia="Arial" w:hAnsi="Arial"/>
          <w:b w:val="false"/>
          <w:bCs w:val="false"/>
          <w:i w:val="false"/>
          <w:iCs w:val="false"/>
        </w:rPr>
        <w:t xml:space="preserve">A formal threat model and proof that live re-attestation raises proxying cost enough in practice. Currently unsolved.</w:t>
      </w:r>
    </w:p>
    <w:p>
      <w:pPr>
        <w:pStyle w:val="ListParagraph"/>
        <w:numPr>
          <w:ilvl w:val="0"/>
          <w:numId w:val="2"/>
        </w:numPr>
        <w:spacing w:after="100" w:line="276"/>
      </w:pPr>
      <w:r>
        <w:rPr>
          <w:rFonts w:ascii="Arial" w:cs="Arial" w:eastAsia="Arial" w:hAnsi="Arial"/>
          <w:b/>
          <w:bCs/>
          <w:i w:val="false"/>
          <w:iCs w:val="false"/>
        </w:rPr>
        <w:t xml:space="preserve">Personhood hardware. </w:t>
      </w:r>
      <w:r>
        <w:rPr>
          <w:rFonts w:ascii="Arial" w:cs="Arial" w:eastAsia="Arial" w:hAnsi="Arial"/>
          <w:b w:val="false"/>
          <w:bCs w:val="false"/>
          <w:i w:val="false"/>
          <w:iCs w:val="false"/>
        </w:rPr>
        <w:t xml:space="preserve">A certified iris + vein + secure-enclave peripheral at consumer price points, with an open attestation protocol. Speculative.</w:t>
      </w:r>
    </w:p>
    <w:p>
      <w:pPr>
        <w:pStyle w:val="ListParagraph"/>
        <w:numPr>
          <w:ilvl w:val="0"/>
          <w:numId w:val="2"/>
        </w:numPr>
        <w:spacing w:after="100" w:line="276"/>
      </w:pPr>
      <w:r>
        <w:rPr>
          <w:rFonts w:ascii="Arial" w:cs="Arial" w:eastAsia="Arial" w:hAnsi="Arial"/>
          <w:b/>
          <w:bCs/>
          <w:i w:val="false"/>
          <w:iCs w:val="false"/>
        </w:rPr>
        <w:t xml:space="preserve">Execution-layer formal verification. </w:t>
      </w:r>
      <w:r>
        <w:rPr>
          <w:rFonts w:ascii="Arial" w:cs="Arial" w:eastAsia="Arial" w:hAnsi="Arial"/>
          <w:b w:val="false"/>
          <w:bCs w:val="false"/>
          <w:i w:val="false"/>
          <w:iCs w:val="false"/>
        </w:rPr>
        <w:t xml:space="preserve">Full Lean 4 verification of WASM semantics, opcodes, and gas accounting — not yet achieved by any production VM.</w:t>
      </w:r>
    </w:p>
    <w:p>
      <w:pPr>
        <w:pStyle w:val="Heading1"/>
        <w:spacing w:after="160" w:before="300"/>
      </w:pPr>
      <w:r>
        <w:rPr>
          <w:rFonts w:ascii="Arial" w:cs="Arial" w:eastAsia="Arial" w:hAnsi="Arial"/>
        </w:rPr>
        <w:t xml:space="preserve">13.  Invitation</w:t>
      </w:r>
    </w:p>
    <w:p>
      <w:pPr>
        <w:spacing w:after="140" w:before="0" w:line="276"/>
      </w:pPr>
      <w:r>
        <w:rPr>
          <w:rFonts w:ascii="Arial" w:cs="Arial" w:eastAsia="Arial" w:hAnsi="Arial"/>
          <w:b w:val="false"/>
          <w:bCs w:val="false"/>
          <w:i w:val="false"/>
          <w:iCs w:val="false"/>
        </w:rPr>
        <w:t xml:space="preserve">ProtoLedger Core v2.0 is the beginning of a conversation, not the end of one. The open problems in Section 12 are the agenda, not embarrassments. We invite cryptographers to review the identity architecture and proof construction; distributed-systems researchers to attack the PCR rule and PoUS for gaming vectors; biometric and hardware engineers to specify the personhood peripheral and publish FMR/FNMR; economists to stress-test or repair the monetary model; and any blockchain team to re-score PLC by the public Standard methodology and challenge the figures above. Corrections are published with attribution.</w:t>
      </w:r>
    </w:p>
    <w:p>
      <w:pPr>
        <w:spacing w:after="160" w:before="160"/>
      </w:pPr>
      <w:r>
        <w:rPr>
          <w:rFonts w:ascii="Arial" w:cs="Arial" w:eastAsia="Arial" w:hAnsi="Arial"/>
          <w:i/>
          <w:iCs/>
          <w:color w:val="595959"/>
        </w:rPr>
        <w:t xml:space="preserve">“Bitcoin won the price war. The cypherpunk dream did not. ProtoLedger Core is a blueprint for what winning might have looked like — and an honest account of how far it still is from running.”</w:t>
      </w:r>
    </w:p>
    <w:p>
      <w:pPr>
        <w:pStyle w:val="Heading1"/>
        <w:spacing w:after="160" w:before="300"/>
      </w:pPr>
      <w:r>
        <w:rPr>
          <w:rFonts w:ascii="Arial" w:cs="Arial" w:eastAsia="Arial" w:hAnsi="Arial"/>
        </w:rPr>
        <w:t xml:space="preserve">References</w:t>
      </w:r>
    </w:p>
    <w:p>
      <w:pPr>
        <w:spacing w:after="60" w:line="264"/>
      </w:pPr>
      <w:r>
        <w:rPr>
          <w:rFonts w:ascii="Arial" w:cs="Arial" w:eastAsia="Arial" w:hAnsi="Arial"/>
          <w:b/>
          <w:bCs/>
          <w:color w:val="1F3864"/>
        </w:rPr>
        <w:t xml:space="preserve">[1]  </w:t>
      </w:r>
      <w:r>
        <w:rPr>
          <w:rFonts w:ascii="Arial" w:cs="Arial" w:eastAsia="Arial" w:hAnsi="Arial"/>
        </w:rPr>
        <w:t xml:space="preserve">S. Nakamoto, “Bitcoin: A Peer-to-Peer Electronic Cash System,” 2008.</w:t>
      </w:r>
    </w:p>
    <w:p>
      <w:pPr>
        <w:spacing w:after="60" w:line="264"/>
      </w:pPr>
      <w:r>
        <w:rPr>
          <w:rFonts w:ascii="Arial" w:cs="Arial" w:eastAsia="Arial" w:hAnsi="Arial"/>
          <w:b/>
          <w:bCs/>
          <w:color w:val="1F3864"/>
        </w:rPr>
        <w:t xml:space="preserve">[2]  </w:t>
      </w:r>
      <w:r>
        <w:rPr>
          <w:rFonts w:ascii="Arial" w:cs="Arial" w:eastAsia="Arial" w:hAnsi="Arial"/>
        </w:rPr>
        <w:t xml:space="preserve">G. Danezis et al., “Narwhal and Tusk,” EuroSys 2022.</w:t>
      </w:r>
    </w:p>
    <w:p>
      <w:pPr>
        <w:spacing w:after="60" w:line="264"/>
      </w:pPr>
      <w:r>
        <w:rPr>
          <w:rFonts w:ascii="Arial" w:cs="Arial" w:eastAsia="Arial" w:hAnsi="Arial"/>
          <w:b/>
          <w:bCs/>
          <w:color w:val="1F3864"/>
        </w:rPr>
        <w:t xml:space="preserve">[3]  </w:t>
      </w:r>
      <w:r>
        <w:rPr>
          <w:rFonts w:ascii="Arial" w:cs="Arial" w:eastAsia="Arial" w:hAnsi="Arial"/>
        </w:rPr>
        <w:t xml:space="preserve">A. Spiegelman et al., “Bullshark: DAG BFT Protocols Made Practical,” CCS 2022.</w:t>
      </w:r>
    </w:p>
    <w:p>
      <w:pPr>
        <w:spacing w:after="60" w:line="264"/>
      </w:pPr>
      <w:r>
        <w:rPr>
          <w:rFonts w:ascii="Arial" w:cs="Arial" w:eastAsia="Arial" w:hAnsi="Arial"/>
          <w:b/>
          <w:bCs/>
          <w:color w:val="1F3864"/>
        </w:rPr>
        <w:t xml:space="preserve">[4]  </w:t>
      </w:r>
      <w:r>
        <w:rPr>
          <w:rFonts w:ascii="Arial" w:cs="Arial" w:eastAsia="Arial" w:hAnsi="Arial"/>
        </w:rPr>
        <w:t xml:space="preserve">V. Arun et al., “Shoal++: High Throughput DAG BFT Can Be Fast and Robust,” NSDI 2025.</w:t>
      </w:r>
    </w:p>
    <w:p>
      <w:pPr>
        <w:spacing w:after="60" w:line="264"/>
      </w:pPr>
      <w:r>
        <w:rPr>
          <w:rFonts w:ascii="Arial" w:cs="Arial" w:eastAsia="Arial" w:hAnsi="Arial"/>
          <w:b/>
          <w:bCs/>
          <w:color w:val="1F3864"/>
        </w:rPr>
        <w:t xml:space="preserve">[5]  </w:t>
      </w:r>
      <w:r>
        <w:rPr>
          <w:rFonts w:ascii="Arial" w:cs="Arial" w:eastAsia="Arial" w:hAnsi="Arial"/>
        </w:rPr>
        <w:t xml:space="preserve">D. Boneh et al., “Verifiable Delay Functions,” CRYPTO 2018.</w:t>
      </w:r>
    </w:p>
    <w:p>
      <w:pPr>
        <w:spacing w:after="60" w:line="264"/>
      </w:pPr>
      <w:r>
        <w:rPr>
          <w:rFonts w:ascii="Arial" w:cs="Arial" w:eastAsia="Arial" w:hAnsi="Arial"/>
          <w:b/>
          <w:bCs/>
          <w:color w:val="1F3864"/>
        </w:rPr>
        <w:t xml:space="preserve">[6]  </w:t>
      </w:r>
      <w:r>
        <w:rPr>
          <w:rFonts w:ascii="Arial" w:cs="Arial" w:eastAsia="Arial" w:hAnsi="Arial"/>
        </w:rPr>
        <w:t xml:space="preserve">NIST, “Module-Lattice-Based Key-Encapsulation Mechanism (ML-KEM),” FIPS 203, Aug 2024.</w:t>
      </w:r>
    </w:p>
    <w:p>
      <w:pPr>
        <w:spacing w:after="60" w:line="264"/>
      </w:pPr>
      <w:r>
        <w:rPr>
          <w:rFonts w:ascii="Arial" w:cs="Arial" w:eastAsia="Arial" w:hAnsi="Arial"/>
          <w:b/>
          <w:bCs/>
          <w:color w:val="1F3864"/>
        </w:rPr>
        <w:t xml:space="preserve">[7]  </w:t>
      </w:r>
      <w:r>
        <w:rPr>
          <w:rFonts w:ascii="Arial" w:cs="Arial" w:eastAsia="Arial" w:hAnsi="Arial"/>
        </w:rPr>
        <w:t xml:space="preserve">NIST, “Module-Lattice-Based Digital Signature Standard (ML-DSA),” FIPS 204, Aug 2024.</w:t>
      </w:r>
    </w:p>
    <w:p>
      <w:pPr>
        <w:spacing w:after="60" w:line="264"/>
      </w:pPr>
      <w:r>
        <w:rPr>
          <w:rFonts w:ascii="Arial" w:cs="Arial" w:eastAsia="Arial" w:hAnsi="Arial"/>
          <w:b/>
          <w:bCs/>
          <w:color w:val="1F3864"/>
        </w:rPr>
        <w:t xml:space="preserve">[8]  </w:t>
      </w:r>
      <w:r>
        <w:rPr>
          <w:rFonts w:ascii="Arial" w:cs="Arial" w:eastAsia="Arial" w:hAnsi="Arial"/>
        </w:rPr>
        <w:t xml:space="preserve">NIST, “Stateless Hash-Based Digital Signature Standard (SLH-DSA),” FIPS 205, Aug 2024.</w:t>
      </w:r>
    </w:p>
    <w:p>
      <w:pPr>
        <w:spacing w:after="60" w:line="264"/>
      </w:pPr>
      <w:r>
        <w:rPr>
          <w:rFonts w:ascii="Arial" w:cs="Arial" w:eastAsia="Arial" w:hAnsi="Arial"/>
          <w:b/>
          <w:bCs/>
          <w:color w:val="1F3864"/>
        </w:rPr>
        <w:t xml:space="preserve">[9]  </w:t>
      </w:r>
      <w:r>
        <w:rPr>
          <w:rFonts w:ascii="Arial" w:cs="Arial" w:eastAsia="Arial" w:hAnsi="Arial"/>
        </w:rPr>
        <w:t xml:space="preserve">NIST, “FN-DSA (Falcon),” FIPS 206 — DRAFT; final expected late 2026 / early 2027.</w:t>
      </w:r>
    </w:p>
    <w:p>
      <w:pPr>
        <w:spacing w:after="60" w:line="264"/>
      </w:pPr>
      <w:r>
        <w:rPr>
          <w:rFonts w:ascii="Arial" w:cs="Arial" w:eastAsia="Arial" w:hAnsi="Arial"/>
          <w:b/>
          <w:bCs/>
          <w:color w:val="1F3864"/>
        </w:rPr>
        <w:t xml:space="preserve">[10]  </w:t>
      </w:r>
      <w:r>
        <w:rPr>
          <w:rFonts w:ascii="Arial" w:cs="Arial" w:eastAsia="Arial" w:hAnsi="Arial"/>
        </w:rPr>
        <w:t xml:space="preserve">StarkWare, “Circle STARKs,” 2024.</w:t>
      </w:r>
    </w:p>
    <w:p>
      <w:pPr>
        <w:spacing w:after="60" w:line="264"/>
      </w:pPr>
      <w:r>
        <w:rPr>
          <w:rFonts w:ascii="Arial" w:cs="Arial" w:eastAsia="Arial" w:hAnsi="Arial"/>
          <w:b/>
          <w:bCs/>
          <w:color w:val="1F3864"/>
        </w:rPr>
        <w:t xml:space="preserve">[11]  </w:t>
      </w:r>
      <w:r>
        <w:rPr>
          <w:rFonts w:ascii="Arial" w:cs="Arial" w:eastAsia="Arial" w:hAnsi="Arial"/>
        </w:rPr>
        <w:t xml:space="preserve">O. Bezuhlyi, “ProtoLedger Money Standard v3.0,” CryptoBeholder.com, 2026.</w:t>
      </w:r>
    </w:p>
    <w:p>
      <w:pPr>
        <w:spacing w:after="60" w:line="264"/>
      </w:pPr>
      <w:r>
        <w:rPr>
          <w:rFonts w:ascii="Arial" w:cs="Arial" w:eastAsia="Arial" w:hAnsi="Arial"/>
          <w:b/>
          <w:bCs/>
          <w:color w:val="1F3864"/>
        </w:rPr>
        <w:t xml:space="preserve">[12]  </w:t>
      </w:r>
      <w:r>
        <w:rPr>
          <w:rFonts w:ascii="Arial" w:cs="Arial" w:eastAsia="Arial" w:hAnsi="Arial"/>
        </w:rPr>
        <w:t xml:space="preserve">O. Bezuhlyi, “Bitcoin: A Revolution That Never Happened?” CryptoBeholder.com, 2026.</w:t>
      </w:r>
    </w:p>
    <w:p>
      <w:pPr>
        <w:pBdr>
          <w:top w:val="single" w:color="2E75B6" w:sz="6" w:space="6"/>
        </w:pBdr>
        <w:spacing w:before="220"/>
      </w:pPr>
      <w:r>
        <w:rPr>
          <w:rFonts w:ascii="Arial" w:cs="Arial" w:eastAsia="Arial" w:hAnsi="Arial"/>
          <w:color w:val="595959"/>
          <w:sz w:val="18"/>
          <w:szCs w:val="18"/>
        </w:rPr>
        <w:t xml:space="preserve">ProtoLedger Core v2.0  ·  Standard-Aligned Edition  ·  June 2026  ·  Apache 2.0  ·  cryptobeholder.com/protoledger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rFonts w:ascii="Arial" w:cs="Arial" w:eastAsia="Arial" w:hAnsi="Arial"/>
        <w:color w:val="999999"/>
        <w:sz w:val="16"/>
        <w:szCs w:val="16"/>
      </w:rPr>
      <w:t xml:space="preserve">Open Standard — Apache 2.0 · cryptobeholder.com/protoledger</w:t>
    </w:r>
    <w:r>
      <w:rPr>
        <w:rFonts w:ascii="Arial" w:cs="Arial" w:eastAsia="Arial" w:hAnsi="Arial"/>
      </w:rPr>
      <w:t xml:space="preserve">	</w:t>
    </w:r>
    <w:r>
      <w:rPr>
        <w:rFonts w:ascii="Arial" w:cs="Arial" w:eastAsia="Arial" w:hAnsi="Arial"/>
        <w:color w:val="99999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PROTOLEDGER CORE · v2.0 Standard-Aligned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BFD3E8" w:sz="4" w:space="4"/>
      </w:pBdr>
      <w:spacing w:after="160" w:before="300"/>
      <w:outlineLvl w:val="0"/>
    </w:pPr>
    <w:rPr>
      <w:rFonts w:ascii="Arial" w:cs="Arial" w:eastAsia="Arial" w:hAnsi="Arial"/>
      <w:b/>
      <w:bCs/>
      <w:color w:val="1F3864"/>
      <w:sz w:val="30"/>
      <w:szCs w:val="30"/>
    </w:rPr>
  </w:style>
  <w:style w:type="paragraph" w:styleId="Heading2">
    <w:name w:val="Heading 2"/>
    <w:basedOn w:val="Normal"/>
    <w:next w:val="Normal"/>
    <w:qFormat/>
    <w:pPr>
      <w:spacing w:after="100" w:before="20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2026-06-06T10:03:11.647Z</dcterms:created>
  <dcterms:modified xsi:type="dcterms:W3CDTF">2026-06-06T10:03:11.647Z</dcterms:modified>
</cp:coreProperties>
</file>

<file path=docProps/custom.xml><?xml version="1.0" encoding="utf-8"?>
<Properties xmlns="http://schemas.openxmlformats.org/officeDocument/2006/custom-properties" xmlns:vt="http://schemas.openxmlformats.org/officeDocument/2006/docPropsVTypes"/>
</file>